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2C6" w:rsidRPr="003C5C8E" w:rsidRDefault="00FC62C6" w:rsidP="00FC62C6">
      <w:pPr>
        <w:jc w:val="center"/>
        <w:rPr>
          <w:sz w:val="32"/>
        </w:rPr>
      </w:pPr>
      <w:r w:rsidRPr="003C5C8E">
        <w:rPr>
          <w:sz w:val="32"/>
        </w:rPr>
        <w:t>Breve Curriculum Vitae Prof. Maurizio Ricci</w:t>
      </w:r>
    </w:p>
    <w:p w:rsidR="00FC62C6" w:rsidRPr="00A117D3" w:rsidRDefault="00FC62C6" w:rsidP="00FC62C6">
      <w:pPr>
        <w:jc w:val="both"/>
      </w:pP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Nato a Terni il 28-11-1957.</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Si è laureato in Chimica e Tecnologia Farmaceutiche (CTF) presso l’Università degli Studi di Perugia nel 1983 con la votazione di 110/110.</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Nel periodo 1985-‘86 ha svolto ricerche nel campo delle fitotossine peptidiche per conto dell'ISTITUTO SUPERIORE SANITA', nell'ambito della convenzione tra Istituto Superiore di Sanità e Consiglio Nazionale delle Ricerche-Progetto Finalizzato "Chimica Fine e Secondaria".</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Dal 1987 al 1993 ha continuato le ricerche nel campo dei peptidi biologicamente attivi presso l'Istituto di Chimica Farmaceutica e Tecnica Farmaceutica dell'Università degli Studi di Perugia.</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Nel 1993 è risultato vincitore di una borsa di studio del CNR per ricerche nel campo delle discipline afferenti al Comitato Nazionale per le Scienze Chimiche.</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 xml:space="preserve">Nel periodo 1993-1994 ha svolto ricerche inerenti a “Studi sull’inglobamento ed il rilascio di molecole bioattive da formulazioni </w:t>
      </w:r>
      <w:proofErr w:type="spellStart"/>
      <w:r w:rsidRPr="00E44C21">
        <w:rPr>
          <w:rFonts w:eastAsia="Times New Roman" w:cs="Arial"/>
          <w:iCs/>
          <w:color w:val="000000"/>
          <w:sz w:val="24"/>
          <w:szCs w:val="24"/>
          <w:lang w:eastAsia="it-IT"/>
        </w:rPr>
        <w:t>liposomiali</w:t>
      </w:r>
      <w:proofErr w:type="spellEnd"/>
      <w:r w:rsidRPr="00E44C21">
        <w:rPr>
          <w:rFonts w:eastAsia="Times New Roman" w:cs="Arial"/>
          <w:iCs/>
          <w:color w:val="000000"/>
          <w:sz w:val="24"/>
          <w:szCs w:val="24"/>
          <w:lang w:eastAsia="it-IT"/>
        </w:rPr>
        <w:t xml:space="preserve">” presso il </w:t>
      </w:r>
      <w:proofErr w:type="spellStart"/>
      <w:r w:rsidRPr="00E44C21">
        <w:rPr>
          <w:rFonts w:eastAsia="Times New Roman" w:cs="Arial"/>
          <w:iCs/>
          <w:color w:val="000000"/>
          <w:sz w:val="24"/>
          <w:szCs w:val="24"/>
          <w:lang w:eastAsia="it-IT"/>
        </w:rPr>
        <w:t>Dpt</w:t>
      </w:r>
      <w:proofErr w:type="spellEnd"/>
      <w:r w:rsidRPr="00E44C21">
        <w:rPr>
          <w:rFonts w:eastAsia="Times New Roman" w:cs="Arial"/>
          <w:iCs/>
          <w:color w:val="000000"/>
          <w:sz w:val="24"/>
          <w:szCs w:val="24"/>
          <w:lang w:eastAsia="it-IT"/>
        </w:rPr>
        <w:t xml:space="preserve">. of </w:t>
      </w:r>
      <w:proofErr w:type="spellStart"/>
      <w:r w:rsidRPr="00E44C21">
        <w:rPr>
          <w:rFonts w:eastAsia="Times New Roman" w:cs="Arial"/>
          <w:iCs/>
          <w:color w:val="000000"/>
          <w:sz w:val="24"/>
          <w:szCs w:val="24"/>
          <w:lang w:eastAsia="it-IT"/>
        </w:rPr>
        <w:t>Pharmaceutics</w:t>
      </w:r>
      <w:proofErr w:type="spellEnd"/>
      <w:r w:rsidRPr="00E44C21">
        <w:rPr>
          <w:rFonts w:eastAsia="Times New Roman" w:cs="Arial"/>
          <w:iCs/>
          <w:color w:val="000000"/>
          <w:sz w:val="24"/>
          <w:szCs w:val="24"/>
          <w:lang w:eastAsia="it-IT"/>
        </w:rPr>
        <w:t xml:space="preserve">, Center for </w:t>
      </w:r>
      <w:proofErr w:type="spellStart"/>
      <w:r w:rsidRPr="00E44C21">
        <w:rPr>
          <w:rFonts w:eastAsia="Times New Roman" w:cs="Arial"/>
          <w:iCs/>
          <w:color w:val="000000"/>
          <w:sz w:val="24"/>
          <w:szCs w:val="24"/>
          <w:lang w:eastAsia="it-IT"/>
        </w:rPr>
        <w:t>Controlled</w:t>
      </w:r>
      <w:proofErr w:type="spellEnd"/>
      <w:r w:rsidRPr="00E44C21">
        <w:rPr>
          <w:rFonts w:eastAsia="Times New Roman" w:cs="Arial"/>
          <w:iCs/>
          <w:color w:val="000000"/>
          <w:sz w:val="24"/>
          <w:szCs w:val="24"/>
          <w:lang w:eastAsia="it-IT"/>
        </w:rPr>
        <w:t xml:space="preserve"> </w:t>
      </w:r>
      <w:proofErr w:type="spellStart"/>
      <w:r w:rsidRPr="00E44C21">
        <w:rPr>
          <w:rFonts w:eastAsia="Times New Roman" w:cs="Arial"/>
          <w:iCs/>
          <w:color w:val="000000"/>
          <w:sz w:val="24"/>
          <w:szCs w:val="24"/>
          <w:lang w:eastAsia="it-IT"/>
        </w:rPr>
        <w:t>Chemical</w:t>
      </w:r>
      <w:proofErr w:type="spellEnd"/>
      <w:r w:rsidRPr="00E44C21">
        <w:rPr>
          <w:rFonts w:eastAsia="Times New Roman" w:cs="Arial"/>
          <w:iCs/>
          <w:color w:val="000000"/>
          <w:sz w:val="24"/>
          <w:szCs w:val="24"/>
          <w:lang w:eastAsia="it-IT"/>
        </w:rPr>
        <w:t xml:space="preserve"> Delivery (CCCD) </w:t>
      </w:r>
      <w:proofErr w:type="spellStart"/>
      <w:r w:rsidRPr="00E44C21">
        <w:rPr>
          <w:rFonts w:eastAsia="Times New Roman" w:cs="Arial"/>
          <w:iCs/>
          <w:color w:val="000000"/>
          <w:sz w:val="24"/>
          <w:szCs w:val="24"/>
          <w:lang w:eastAsia="it-IT"/>
        </w:rPr>
        <w:t>University</w:t>
      </w:r>
      <w:proofErr w:type="spellEnd"/>
      <w:r w:rsidRPr="00E44C21">
        <w:rPr>
          <w:rFonts w:eastAsia="Times New Roman" w:cs="Arial"/>
          <w:iCs/>
          <w:color w:val="000000"/>
          <w:sz w:val="24"/>
          <w:szCs w:val="24"/>
          <w:lang w:eastAsia="it-IT"/>
        </w:rPr>
        <w:t xml:space="preserve"> of Utah - Salt Lake City - UTAH, (USA).</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 xml:space="preserve">Ha inoltre svolto vari soggiorni di studio presso il </w:t>
      </w:r>
      <w:proofErr w:type="spellStart"/>
      <w:r w:rsidRPr="00E44C21">
        <w:rPr>
          <w:rFonts w:eastAsia="Times New Roman" w:cs="Arial"/>
          <w:iCs/>
          <w:color w:val="000000"/>
          <w:sz w:val="24"/>
          <w:szCs w:val="24"/>
          <w:lang w:eastAsia="it-IT"/>
        </w:rPr>
        <w:t>Depto</w:t>
      </w:r>
      <w:proofErr w:type="spellEnd"/>
      <w:r w:rsidRPr="00E44C21">
        <w:rPr>
          <w:rFonts w:eastAsia="Times New Roman" w:cs="Arial"/>
          <w:iCs/>
          <w:color w:val="000000"/>
          <w:sz w:val="24"/>
          <w:szCs w:val="24"/>
          <w:lang w:eastAsia="it-IT"/>
        </w:rPr>
        <w:t xml:space="preserve">. </w:t>
      </w:r>
      <w:proofErr w:type="spellStart"/>
      <w:r w:rsidRPr="00E44C21">
        <w:rPr>
          <w:rFonts w:eastAsia="Times New Roman" w:cs="Arial"/>
          <w:iCs/>
          <w:color w:val="000000"/>
          <w:sz w:val="24"/>
          <w:szCs w:val="24"/>
          <w:lang w:eastAsia="it-IT"/>
        </w:rPr>
        <w:t>Quimica</w:t>
      </w:r>
      <w:proofErr w:type="spellEnd"/>
      <w:r w:rsidRPr="00E44C21">
        <w:rPr>
          <w:rFonts w:eastAsia="Times New Roman" w:cs="Arial"/>
          <w:iCs/>
          <w:color w:val="000000"/>
          <w:sz w:val="24"/>
          <w:szCs w:val="24"/>
          <w:lang w:eastAsia="it-IT"/>
        </w:rPr>
        <w:t xml:space="preserve"> Fisica II, </w:t>
      </w:r>
      <w:proofErr w:type="spellStart"/>
      <w:r w:rsidRPr="00E44C21">
        <w:rPr>
          <w:rFonts w:eastAsia="Times New Roman" w:cs="Arial"/>
          <w:iCs/>
          <w:color w:val="000000"/>
          <w:sz w:val="24"/>
          <w:szCs w:val="24"/>
          <w:lang w:eastAsia="it-IT"/>
        </w:rPr>
        <w:t>Fac</w:t>
      </w:r>
      <w:proofErr w:type="spellEnd"/>
      <w:r w:rsidRPr="00E44C21">
        <w:rPr>
          <w:rFonts w:eastAsia="Times New Roman" w:cs="Arial"/>
          <w:iCs/>
          <w:color w:val="000000"/>
          <w:sz w:val="24"/>
          <w:szCs w:val="24"/>
          <w:lang w:eastAsia="it-IT"/>
        </w:rPr>
        <w:t xml:space="preserve">. Farmacia </w:t>
      </w:r>
      <w:proofErr w:type="spellStart"/>
      <w:r w:rsidRPr="00E44C21">
        <w:rPr>
          <w:rFonts w:eastAsia="Times New Roman" w:cs="Arial"/>
          <w:iCs/>
          <w:color w:val="000000"/>
          <w:sz w:val="24"/>
          <w:szCs w:val="24"/>
          <w:lang w:eastAsia="it-IT"/>
        </w:rPr>
        <w:t>Universidad</w:t>
      </w:r>
      <w:proofErr w:type="spellEnd"/>
      <w:r w:rsidRPr="00E44C21">
        <w:rPr>
          <w:rFonts w:eastAsia="Times New Roman" w:cs="Arial"/>
          <w:iCs/>
          <w:color w:val="000000"/>
          <w:sz w:val="24"/>
          <w:szCs w:val="24"/>
          <w:lang w:eastAsia="it-IT"/>
        </w:rPr>
        <w:t xml:space="preserve"> Complutense Madrid, per approfondire studi di interazione tra peptidi e membrane fosfolipidiche.</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Dal 2003 è Direttore della Scuola di Specializzazione in Farmacia Ospedaliera della Facoltà di Farmacia dell'Università degli Studi di Perugia.</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Dal 2007 al 2009 ha svolto attività di esperto per istruttorie tecnico/scientifiche dei dossier di registrazione per conto di AIFA (Agenzia Italiana del Farmaco).</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E’ Professore straordinario dal 2011 presso il Dipartimento di Chimica e Tecnologia del Farmaco, Facoltà di Farmacia, Università degli Studi di Perugia.</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E’ stato nominato, per il triennio 2011-2014, Membro del Consiglio Direttivo della TEFARCO Innova, Consorzio Interuniversitario Nazionale di Tecnologie Farmaceutiche Innovative.</w:t>
      </w:r>
    </w:p>
    <w:p w:rsidR="00FC62C6" w:rsidRPr="00E44C21" w:rsidRDefault="00FC62C6" w:rsidP="00FC62C6">
      <w:pPr>
        <w:jc w:val="both"/>
        <w:rPr>
          <w:rFonts w:eastAsia="Times New Roman" w:cs="Arial"/>
          <w:iCs/>
          <w:color w:val="000000"/>
          <w:sz w:val="24"/>
          <w:szCs w:val="24"/>
          <w:lang w:eastAsia="it-IT"/>
        </w:rPr>
      </w:pPr>
      <w:r w:rsidRPr="00E44C21">
        <w:rPr>
          <w:rFonts w:eastAsia="Times New Roman" w:cs="Arial"/>
          <w:iCs/>
          <w:color w:val="000000"/>
          <w:sz w:val="24"/>
          <w:szCs w:val="24"/>
          <w:lang w:eastAsia="it-IT"/>
        </w:rPr>
        <w:t>E' attualmente membro dell'ADRITELF, AAPS e AFI.</w:t>
      </w:r>
    </w:p>
    <w:p w:rsidR="00FC62C6" w:rsidRPr="002F43C1" w:rsidRDefault="00FC62C6" w:rsidP="00FC62C6">
      <w:pPr>
        <w:tabs>
          <w:tab w:val="left" w:pos="360"/>
        </w:tabs>
        <w:spacing w:before="100" w:beforeAutospacing="1" w:after="100" w:afterAutospacing="1" w:line="360" w:lineRule="auto"/>
        <w:ind w:firstLine="23"/>
        <w:jc w:val="both"/>
        <w:rPr>
          <w:rFonts w:asciiTheme="minorHAnsi" w:hAnsiTheme="minorHAnsi" w:cstheme="minorHAnsi"/>
          <w:sz w:val="24"/>
          <w:szCs w:val="24"/>
        </w:rPr>
      </w:pPr>
      <w:r w:rsidRPr="002F43C1">
        <w:rPr>
          <w:rFonts w:asciiTheme="minorHAnsi" w:hAnsiTheme="minorHAnsi" w:cstheme="minorHAnsi"/>
          <w:sz w:val="24"/>
          <w:szCs w:val="24"/>
        </w:rPr>
        <w:t>L'attività scientifica del Prof. Maurizio Ricci è documentata da:</w:t>
      </w:r>
    </w:p>
    <w:p w:rsidR="00FC62C6" w:rsidRPr="002F43C1" w:rsidRDefault="00FC62C6" w:rsidP="00FC62C6">
      <w:pPr>
        <w:tabs>
          <w:tab w:val="left" w:pos="-2694"/>
          <w:tab w:val="left" w:pos="-2552"/>
          <w:tab w:val="left" w:pos="-1843"/>
          <w:tab w:val="left" w:pos="-1560"/>
          <w:tab w:val="left" w:pos="709"/>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09" w:hanging="709"/>
        <w:jc w:val="both"/>
        <w:rPr>
          <w:rFonts w:asciiTheme="minorHAnsi" w:hAnsiTheme="minorHAnsi" w:cstheme="minorHAnsi"/>
          <w:sz w:val="24"/>
          <w:szCs w:val="24"/>
        </w:rPr>
      </w:pPr>
      <w:r w:rsidRPr="002F43C1">
        <w:rPr>
          <w:rFonts w:asciiTheme="minorHAnsi" w:hAnsiTheme="minorHAnsi" w:cstheme="minorHAnsi"/>
          <w:sz w:val="24"/>
          <w:szCs w:val="24"/>
        </w:rPr>
        <w:t>I.</w:t>
      </w:r>
      <w:r w:rsidRPr="002F43C1">
        <w:rPr>
          <w:rFonts w:asciiTheme="minorHAnsi" w:hAnsiTheme="minorHAnsi" w:cstheme="minorHAnsi"/>
          <w:sz w:val="24"/>
          <w:szCs w:val="24"/>
        </w:rPr>
        <w:tab/>
      </w:r>
      <w:r w:rsidRPr="002F43C1">
        <w:rPr>
          <w:rFonts w:asciiTheme="minorHAnsi" w:hAnsiTheme="minorHAnsi" w:cstheme="minorHAnsi"/>
          <w:b/>
          <w:color w:val="CC0000"/>
          <w:sz w:val="24"/>
          <w:szCs w:val="24"/>
        </w:rPr>
        <w:t>LAVORI IN EXTENSO</w:t>
      </w:r>
    </w:p>
    <w:p w:rsidR="00FC62C6" w:rsidRPr="002F43C1" w:rsidRDefault="00FC62C6" w:rsidP="00FC62C6">
      <w:pPr>
        <w:tabs>
          <w:tab w:val="left" w:pos="-2694"/>
          <w:tab w:val="left" w:pos="-2552"/>
          <w:tab w:val="left" w:pos="-1843"/>
          <w:tab w:val="left" w:pos="-1560"/>
          <w:tab w:val="left" w:pos="709"/>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40" w:lineRule="atLeast"/>
        <w:ind w:left="709" w:hanging="709"/>
        <w:jc w:val="both"/>
        <w:rPr>
          <w:rFonts w:asciiTheme="minorHAnsi" w:hAnsiTheme="minorHAnsi" w:cstheme="minorHAnsi"/>
          <w:sz w:val="24"/>
          <w:szCs w:val="24"/>
        </w:rPr>
      </w:pPr>
      <w:r w:rsidRPr="002F43C1">
        <w:rPr>
          <w:rFonts w:asciiTheme="minorHAnsi" w:hAnsiTheme="minorHAnsi" w:cstheme="minorHAnsi"/>
          <w:sz w:val="24"/>
          <w:szCs w:val="24"/>
        </w:rPr>
        <w:tab/>
        <w:t xml:space="preserve">n. pubblicazioni = </w:t>
      </w:r>
      <w:r w:rsidRPr="002F43C1">
        <w:rPr>
          <w:rFonts w:asciiTheme="minorHAnsi" w:hAnsiTheme="minorHAnsi" w:cstheme="minorHAnsi"/>
          <w:b/>
          <w:bCs/>
          <w:sz w:val="24"/>
          <w:szCs w:val="24"/>
        </w:rPr>
        <w:t>67</w:t>
      </w:r>
    </w:p>
    <w:p w:rsidR="00FC62C6" w:rsidRPr="002F43C1" w:rsidRDefault="00FC62C6" w:rsidP="00FC62C6">
      <w:pPr>
        <w:tabs>
          <w:tab w:val="left" w:pos="-2694"/>
          <w:tab w:val="left" w:pos="-2552"/>
          <w:tab w:val="left" w:pos="-1843"/>
          <w:tab w:val="left" w:pos="-1560"/>
          <w:tab w:val="left" w:pos="709"/>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09" w:hanging="709"/>
        <w:jc w:val="both"/>
        <w:rPr>
          <w:rFonts w:asciiTheme="minorHAnsi" w:hAnsiTheme="minorHAnsi" w:cstheme="minorHAnsi"/>
          <w:b/>
          <w:sz w:val="24"/>
          <w:szCs w:val="24"/>
        </w:rPr>
      </w:pPr>
      <w:r w:rsidRPr="002F43C1">
        <w:rPr>
          <w:rFonts w:asciiTheme="minorHAnsi" w:hAnsiTheme="minorHAnsi" w:cstheme="minorHAnsi"/>
          <w:sz w:val="24"/>
          <w:szCs w:val="24"/>
        </w:rPr>
        <w:t>II.</w:t>
      </w:r>
      <w:r w:rsidRPr="002F43C1">
        <w:rPr>
          <w:rFonts w:asciiTheme="minorHAnsi" w:hAnsiTheme="minorHAnsi" w:cstheme="minorHAnsi"/>
          <w:sz w:val="24"/>
          <w:szCs w:val="24"/>
        </w:rPr>
        <w:tab/>
      </w:r>
      <w:r w:rsidRPr="002F43C1">
        <w:rPr>
          <w:rFonts w:asciiTheme="minorHAnsi" w:hAnsiTheme="minorHAnsi" w:cstheme="minorHAnsi"/>
          <w:b/>
          <w:color w:val="CC0000"/>
          <w:sz w:val="24"/>
          <w:szCs w:val="24"/>
        </w:rPr>
        <w:t>PROCEEDINGS</w:t>
      </w:r>
    </w:p>
    <w:p w:rsidR="00FC62C6" w:rsidRPr="002F43C1" w:rsidRDefault="00FC62C6" w:rsidP="00FC62C6">
      <w:pPr>
        <w:tabs>
          <w:tab w:val="left" w:pos="-2694"/>
          <w:tab w:val="left" w:pos="-2552"/>
          <w:tab w:val="left" w:pos="-1843"/>
          <w:tab w:val="left" w:pos="-1560"/>
          <w:tab w:val="left" w:pos="709"/>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40" w:lineRule="atLeast"/>
        <w:ind w:left="709" w:hanging="709"/>
        <w:jc w:val="both"/>
        <w:rPr>
          <w:rFonts w:asciiTheme="minorHAnsi" w:hAnsiTheme="minorHAnsi" w:cstheme="minorHAnsi"/>
          <w:sz w:val="24"/>
          <w:szCs w:val="24"/>
        </w:rPr>
      </w:pPr>
      <w:r w:rsidRPr="002F43C1">
        <w:rPr>
          <w:rFonts w:asciiTheme="minorHAnsi" w:hAnsiTheme="minorHAnsi" w:cstheme="minorHAnsi"/>
          <w:sz w:val="24"/>
          <w:szCs w:val="24"/>
        </w:rPr>
        <w:tab/>
        <w:t xml:space="preserve">n. pubblicazioni = </w:t>
      </w:r>
      <w:r w:rsidRPr="002F43C1">
        <w:rPr>
          <w:rFonts w:asciiTheme="minorHAnsi" w:hAnsiTheme="minorHAnsi" w:cstheme="minorHAnsi"/>
          <w:b/>
          <w:bCs/>
          <w:sz w:val="24"/>
          <w:szCs w:val="24"/>
        </w:rPr>
        <w:t>20</w:t>
      </w:r>
    </w:p>
    <w:p w:rsidR="00FC62C6" w:rsidRPr="002F43C1" w:rsidRDefault="00FC62C6" w:rsidP="00FC62C6">
      <w:pPr>
        <w:tabs>
          <w:tab w:val="left" w:pos="-2694"/>
          <w:tab w:val="left" w:pos="-2552"/>
          <w:tab w:val="left" w:pos="-1843"/>
          <w:tab w:val="left" w:pos="-1560"/>
          <w:tab w:val="left" w:pos="709"/>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09" w:hanging="709"/>
        <w:jc w:val="both"/>
        <w:rPr>
          <w:rFonts w:asciiTheme="minorHAnsi" w:hAnsiTheme="minorHAnsi" w:cstheme="minorHAnsi"/>
          <w:sz w:val="24"/>
          <w:szCs w:val="24"/>
        </w:rPr>
      </w:pPr>
      <w:r w:rsidRPr="002F43C1">
        <w:rPr>
          <w:rFonts w:asciiTheme="minorHAnsi" w:hAnsiTheme="minorHAnsi" w:cstheme="minorHAnsi"/>
          <w:sz w:val="24"/>
          <w:szCs w:val="24"/>
        </w:rPr>
        <w:t>III.</w:t>
      </w:r>
      <w:r w:rsidRPr="002F43C1">
        <w:rPr>
          <w:rFonts w:asciiTheme="minorHAnsi" w:hAnsiTheme="minorHAnsi" w:cstheme="minorHAnsi"/>
          <w:sz w:val="24"/>
          <w:szCs w:val="24"/>
        </w:rPr>
        <w:tab/>
      </w:r>
      <w:r w:rsidRPr="002F43C1">
        <w:rPr>
          <w:rFonts w:asciiTheme="minorHAnsi" w:hAnsiTheme="minorHAnsi" w:cstheme="minorHAnsi"/>
          <w:b/>
          <w:color w:val="CC0000"/>
          <w:sz w:val="24"/>
          <w:szCs w:val="24"/>
        </w:rPr>
        <w:t>RIASSUNTI DI COMUNICAZIONI A CONGRESSI</w:t>
      </w:r>
    </w:p>
    <w:p w:rsidR="00FC62C6" w:rsidRPr="002F43C1" w:rsidRDefault="00FC62C6" w:rsidP="00FC62C6">
      <w:pPr>
        <w:tabs>
          <w:tab w:val="left" w:pos="-2694"/>
          <w:tab w:val="left" w:pos="-2552"/>
          <w:tab w:val="left" w:pos="-1843"/>
          <w:tab w:val="left" w:pos="-1560"/>
          <w:tab w:val="left" w:pos="709"/>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40" w:lineRule="atLeast"/>
        <w:ind w:left="709" w:hanging="709"/>
        <w:jc w:val="both"/>
        <w:rPr>
          <w:rFonts w:asciiTheme="minorHAnsi" w:hAnsiTheme="minorHAnsi" w:cstheme="minorHAnsi"/>
          <w:sz w:val="24"/>
          <w:szCs w:val="24"/>
        </w:rPr>
      </w:pPr>
      <w:r w:rsidRPr="002F43C1">
        <w:rPr>
          <w:rFonts w:asciiTheme="minorHAnsi" w:hAnsiTheme="minorHAnsi" w:cstheme="minorHAnsi"/>
          <w:sz w:val="24"/>
          <w:szCs w:val="24"/>
        </w:rPr>
        <w:tab/>
        <w:t xml:space="preserve">n. pubblicazioni = </w:t>
      </w:r>
      <w:r w:rsidRPr="002F43C1">
        <w:rPr>
          <w:rFonts w:asciiTheme="minorHAnsi" w:hAnsiTheme="minorHAnsi" w:cstheme="minorHAnsi"/>
          <w:b/>
          <w:bCs/>
          <w:sz w:val="24"/>
          <w:szCs w:val="24"/>
        </w:rPr>
        <w:t>82</w:t>
      </w:r>
    </w:p>
    <w:p w:rsidR="00FC62C6" w:rsidRPr="002F43C1" w:rsidRDefault="00FC62C6" w:rsidP="00FC62C6">
      <w:pPr>
        <w:tabs>
          <w:tab w:val="left" w:pos="-2694"/>
          <w:tab w:val="left" w:pos="-2552"/>
          <w:tab w:val="left" w:pos="-1843"/>
          <w:tab w:val="left" w:pos="-1560"/>
          <w:tab w:val="left" w:pos="709"/>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09" w:hanging="709"/>
        <w:jc w:val="both"/>
        <w:rPr>
          <w:rFonts w:asciiTheme="minorHAnsi" w:hAnsiTheme="minorHAnsi" w:cstheme="minorHAnsi"/>
          <w:sz w:val="24"/>
          <w:szCs w:val="24"/>
        </w:rPr>
      </w:pPr>
      <w:r w:rsidRPr="002F43C1">
        <w:rPr>
          <w:rFonts w:asciiTheme="minorHAnsi" w:hAnsiTheme="minorHAnsi" w:cstheme="minorHAnsi"/>
          <w:sz w:val="24"/>
          <w:szCs w:val="24"/>
        </w:rPr>
        <w:t>IV.</w:t>
      </w:r>
      <w:r w:rsidRPr="002F43C1">
        <w:rPr>
          <w:rFonts w:asciiTheme="minorHAnsi" w:hAnsiTheme="minorHAnsi" w:cstheme="minorHAnsi"/>
          <w:sz w:val="24"/>
          <w:szCs w:val="24"/>
        </w:rPr>
        <w:tab/>
      </w:r>
      <w:r w:rsidRPr="002F43C1">
        <w:rPr>
          <w:rFonts w:asciiTheme="minorHAnsi" w:hAnsiTheme="minorHAnsi" w:cstheme="minorHAnsi"/>
          <w:b/>
          <w:color w:val="CC0000"/>
          <w:sz w:val="24"/>
          <w:szCs w:val="24"/>
        </w:rPr>
        <w:t>CAPITOLI DI LIBRI</w:t>
      </w:r>
    </w:p>
    <w:p w:rsidR="00FC62C6" w:rsidRPr="002F43C1" w:rsidRDefault="00FC62C6" w:rsidP="00FC62C6">
      <w:pPr>
        <w:tabs>
          <w:tab w:val="left" w:pos="-2694"/>
          <w:tab w:val="left" w:pos="-2552"/>
          <w:tab w:val="left" w:pos="-1843"/>
          <w:tab w:val="left" w:pos="-1560"/>
          <w:tab w:val="left" w:pos="709"/>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40" w:lineRule="atLeast"/>
        <w:ind w:left="709" w:hanging="709"/>
        <w:jc w:val="both"/>
        <w:rPr>
          <w:rFonts w:asciiTheme="minorHAnsi" w:hAnsiTheme="minorHAnsi" w:cstheme="minorHAnsi"/>
          <w:b/>
          <w:bCs/>
          <w:sz w:val="24"/>
          <w:szCs w:val="24"/>
        </w:rPr>
      </w:pPr>
      <w:r w:rsidRPr="002F43C1">
        <w:rPr>
          <w:rFonts w:asciiTheme="minorHAnsi" w:hAnsiTheme="minorHAnsi" w:cstheme="minorHAnsi"/>
          <w:sz w:val="24"/>
          <w:szCs w:val="24"/>
        </w:rPr>
        <w:tab/>
        <w:t xml:space="preserve">n. pubblicazioni = </w:t>
      </w:r>
      <w:r w:rsidRPr="002F43C1">
        <w:rPr>
          <w:rFonts w:asciiTheme="minorHAnsi" w:hAnsiTheme="minorHAnsi" w:cstheme="minorHAnsi"/>
          <w:b/>
          <w:bCs/>
          <w:sz w:val="24"/>
          <w:szCs w:val="24"/>
        </w:rPr>
        <w:t>2</w:t>
      </w:r>
    </w:p>
    <w:p w:rsidR="00FC62C6" w:rsidRPr="002F43C1" w:rsidRDefault="00FC62C6" w:rsidP="00FC62C6">
      <w:pPr>
        <w:spacing w:after="0"/>
        <w:jc w:val="both"/>
        <w:rPr>
          <w:rFonts w:asciiTheme="minorHAnsi" w:eastAsia="Times New Roman" w:hAnsiTheme="minorHAnsi" w:cstheme="minorHAnsi"/>
          <w:iCs/>
          <w:color w:val="000000"/>
          <w:sz w:val="24"/>
          <w:szCs w:val="24"/>
          <w:lang w:eastAsia="it-IT"/>
        </w:rPr>
      </w:pP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Si è dedicato principalmente ai seguenti temi di ricerca:</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 xml:space="preserve">1. Sviluppo di sistemi </w:t>
      </w:r>
      <w:proofErr w:type="spellStart"/>
      <w:r w:rsidRPr="00E44C21">
        <w:rPr>
          <w:rFonts w:eastAsia="Times New Roman" w:cs="Arial"/>
          <w:iCs/>
          <w:color w:val="000000"/>
          <w:sz w:val="24"/>
          <w:szCs w:val="24"/>
          <w:lang w:eastAsia="it-IT"/>
        </w:rPr>
        <w:t>microparticellari</w:t>
      </w:r>
      <w:proofErr w:type="spellEnd"/>
      <w:r w:rsidRPr="00E44C21">
        <w:rPr>
          <w:rFonts w:eastAsia="Times New Roman" w:cs="Arial"/>
          <w:iCs/>
          <w:color w:val="000000"/>
          <w:sz w:val="24"/>
          <w:szCs w:val="24"/>
          <w:lang w:eastAsia="it-IT"/>
        </w:rPr>
        <w:t xml:space="preserve"> per il rilascio di farmaci ai polmoni;</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 xml:space="preserve">2. Veicolazione di sostanze biologicamente attive e filtri solari mediante liposomi e </w:t>
      </w:r>
      <w:proofErr w:type="spellStart"/>
      <w:r w:rsidRPr="00E44C21">
        <w:rPr>
          <w:rFonts w:eastAsia="Times New Roman" w:cs="Arial"/>
          <w:iCs/>
          <w:color w:val="000000"/>
          <w:sz w:val="24"/>
          <w:szCs w:val="24"/>
          <w:lang w:eastAsia="it-IT"/>
        </w:rPr>
        <w:t>nanoparticlle</w:t>
      </w:r>
      <w:proofErr w:type="spellEnd"/>
      <w:r w:rsidRPr="00E44C21">
        <w:rPr>
          <w:rFonts w:eastAsia="Times New Roman" w:cs="Arial"/>
          <w:iCs/>
          <w:color w:val="000000"/>
          <w:sz w:val="24"/>
          <w:szCs w:val="24"/>
          <w:lang w:eastAsia="it-IT"/>
        </w:rPr>
        <w:t>;</w:t>
      </w:r>
    </w:p>
    <w:p w:rsidR="00FC62C6" w:rsidRPr="00E44C21" w:rsidRDefault="00FC62C6" w:rsidP="00FC62C6">
      <w:pPr>
        <w:spacing w:after="0"/>
        <w:jc w:val="both"/>
        <w:rPr>
          <w:rFonts w:eastAsia="Times New Roman"/>
          <w:color w:val="000000"/>
          <w:sz w:val="24"/>
          <w:szCs w:val="24"/>
          <w:lang w:eastAsia="it-IT"/>
        </w:rPr>
      </w:pPr>
      <w:r w:rsidRPr="00E44C21">
        <w:rPr>
          <w:rFonts w:eastAsia="Times New Roman" w:cs="Arial"/>
          <w:iCs/>
          <w:color w:val="000000"/>
          <w:sz w:val="24"/>
          <w:szCs w:val="24"/>
          <w:lang w:eastAsia="it-IT"/>
        </w:rPr>
        <w:t>3. Studi di microincapsulazione di cellule per protocolli di xeno-trapianto cellulare per la terapia del diabete di tipo I;</w:t>
      </w:r>
      <w:r w:rsidRPr="00E44C21">
        <w:rPr>
          <w:rFonts w:eastAsia="Times New Roman"/>
          <w:color w:val="000000"/>
          <w:sz w:val="24"/>
          <w:szCs w:val="24"/>
          <w:lang w:eastAsia="it-IT"/>
        </w:rPr>
        <w:t xml:space="preserve"> </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4. Impiego di matrici inorganiche (</w:t>
      </w:r>
      <w:proofErr w:type="spellStart"/>
      <w:r w:rsidRPr="00E44C21">
        <w:rPr>
          <w:rFonts w:eastAsia="Times New Roman" w:cs="Arial"/>
          <w:iCs/>
          <w:color w:val="000000"/>
          <w:sz w:val="24"/>
          <w:szCs w:val="24"/>
          <w:lang w:eastAsia="it-IT"/>
        </w:rPr>
        <w:t>idrotalciti</w:t>
      </w:r>
      <w:proofErr w:type="spellEnd"/>
      <w:r w:rsidRPr="00E44C21">
        <w:rPr>
          <w:rFonts w:eastAsia="Times New Roman" w:cs="Arial"/>
          <w:iCs/>
          <w:color w:val="000000"/>
          <w:sz w:val="24"/>
          <w:szCs w:val="24"/>
          <w:lang w:eastAsia="it-IT"/>
        </w:rPr>
        <w:t xml:space="preserve"> e sistemi </w:t>
      </w:r>
      <w:proofErr w:type="spellStart"/>
      <w:r w:rsidRPr="00E44C21">
        <w:rPr>
          <w:rFonts w:eastAsia="Times New Roman" w:cs="Arial"/>
          <w:iCs/>
          <w:color w:val="000000"/>
          <w:sz w:val="24"/>
          <w:szCs w:val="24"/>
          <w:lang w:eastAsia="it-IT"/>
        </w:rPr>
        <w:t>mesoporosi</w:t>
      </w:r>
      <w:proofErr w:type="spellEnd"/>
      <w:r w:rsidRPr="00E44C21">
        <w:rPr>
          <w:rFonts w:eastAsia="Times New Roman" w:cs="Arial"/>
          <w:iCs/>
          <w:color w:val="000000"/>
          <w:sz w:val="24"/>
          <w:szCs w:val="24"/>
          <w:lang w:eastAsia="it-IT"/>
        </w:rPr>
        <w:t xml:space="preserve">) in campo farmaceutico e cosmetico; </w:t>
      </w:r>
    </w:p>
    <w:p w:rsidR="00FC62C6" w:rsidRPr="00E44C21" w:rsidRDefault="00FC62C6" w:rsidP="00FC62C6">
      <w:pPr>
        <w:spacing w:after="0"/>
        <w:jc w:val="both"/>
        <w:rPr>
          <w:rFonts w:eastAsia="Times New Roman" w:cs="Arial"/>
          <w:iCs/>
          <w:color w:val="000000"/>
          <w:sz w:val="24"/>
          <w:szCs w:val="24"/>
          <w:lang w:eastAsia="it-IT"/>
        </w:rPr>
      </w:pPr>
      <w:r w:rsidRPr="00E44C21">
        <w:rPr>
          <w:rFonts w:eastAsia="Times New Roman" w:cs="Arial"/>
          <w:iCs/>
          <w:color w:val="000000"/>
          <w:sz w:val="24"/>
          <w:szCs w:val="24"/>
          <w:lang w:eastAsia="it-IT"/>
        </w:rPr>
        <w:t xml:space="preserve">5. Sviluppo di sistemi </w:t>
      </w:r>
      <w:proofErr w:type="spellStart"/>
      <w:r w:rsidRPr="00E44C21">
        <w:rPr>
          <w:rFonts w:eastAsia="Times New Roman" w:cs="Arial"/>
          <w:iCs/>
          <w:color w:val="000000"/>
          <w:sz w:val="24"/>
          <w:szCs w:val="24"/>
          <w:lang w:eastAsia="it-IT"/>
        </w:rPr>
        <w:t>mucoadesivi</w:t>
      </w:r>
      <w:proofErr w:type="spellEnd"/>
      <w:r w:rsidRPr="00E44C21">
        <w:rPr>
          <w:rFonts w:eastAsia="Times New Roman" w:cs="Arial"/>
          <w:iCs/>
          <w:color w:val="000000"/>
          <w:sz w:val="24"/>
          <w:szCs w:val="24"/>
          <w:lang w:eastAsia="it-IT"/>
        </w:rPr>
        <w:t xml:space="preserve"> buccali e vaginali;</w:t>
      </w:r>
    </w:p>
    <w:p w:rsidR="00FC62C6" w:rsidRPr="00E44C21" w:rsidRDefault="00FC62C6" w:rsidP="00FC62C6">
      <w:pPr>
        <w:spacing w:after="0"/>
        <w:jc w:val="both"/>
        <w:rPr>
          <w:rFonts w:eastAsia="Times New Roman" w:cs="Arial"/>
          <w:iCs/>
          <w:color w:val="000000"/>
          <w:sz w:val="24"/>
          <w:szCs w:val="24"/>
          <w:lang w:eastAsia="it-IT"/>
        </w:rPr>
      </w:pPr>
    </w:p>
    <w:p w:rsidR="00FC62C6" w:rsidRPr="00FC62C6" w:rsidRDefault="00FC62C6" w:rsidP="00FC62C6">
      <w:pPr>
        <w:spacing w:after="0"/>
        <w:jc w:val="both"/>
        <w:rPr>
          <w:rFonts w:eastAsia="Times New Roman" w:cs="Arial"/>
          <w:iCs/>
          <w:color w:val="000000"/>
          <w:sz w:val="24"/>
          <w:szCs w:val="24"/>
          <w:lang w:eastAsia="it-IT"/>
        </w:rPr>
      </w:pPr>
    </w:p>
    <w:p w:rsidR="00FC62C6" w:rsidRPr="0019591F" w:rsidRDefault="00FC62C6" w:rsidP="00FC62C6">
      <w:pPr>
        <w:spacing w:after="0"/>
        <w:jc w:val="both"/>
        <w:rPr>
          <w:rFonts w:eastAsia="Times New Roman" w:cs="Arial"/>
          <w:b/>
          <w:iCs/>
          <w:color w:val="000000"/>
          <w:sz w:val="24"/>
          <w:szCs w:val="24"/>
          <w:lang w:val="en-US" w:eastAsia="it-IT"/>
        </w:rPr>
      </w:pPr>
      <w:r w:rsidRPr="0019591F">
        <w:rPr>
          <w:rFonts w:eastAsia="Times New Roman" w:cs="Arial"/>
          <w:b/>
          <w:iCs/>
          <w:color w:val="000000"/>
          <w:sz w:val="24"/>
          <w:szCs w:val="24"/>
          <w:lang w:val="en-US" w:eastAsia="it-IT"/>
        </w:rPr>
        <w:t xml:space="preserve">ENGLISH VERSION </w:t>
      </w:r>
    </w:p>
    <w:p w:rsidR="00FC62C6" w:rsidRPr="00E82756" w:rsidRDefault="00FC62C6" w:rsidP="00FC62C6">
      <w:pPr>
        <w:spacing w:after="0"/>
        <w:jc w:val="both"/>
        <w:rPr>
          <w:rFonts w:eastAsia="Times New Roman" w:cs="Arial"/>
          <w:iCs/>
          <w:color w:val="000000"/>
          <w:sz w:val="24"/>
          <w:szCs w:val="24"/>
          <w:lang w:val="en-US" w:eastAsia="it-IT"/>
        </w:rPr>
      </w:pPr>
      <w:r w:rsidRPr="00E82756">
        <w:rPr>
          <w:rFonts w:eastAsia="Times New Roman" w:cs="Arial"/>
          <w:iCs/>
          <w:color w:val="000000"/>
          <w:sz w:val="24"/>
          <w:szCs w:val="24"/>
          <w:lang w:val="en-US" w:eastAsia="it-IT"/>
        </w:rPr>
        <w:t xml:space="preserve">He got degree in </w:t>
      </w:r>
      <w:proofErr w:type="spellStart"/>
      <w:r w:rsidRPr="00E82756">
        <w:rPr>
          <w:rFonts w:eastAsia="Times New Roman" w:cs="Arial"/>
          <w:iCs/>
          <w:color w:val="000000"/>
          <w:sz w:val="24"/>
          <w:szCs w:val="24"/>
          <w:lang w:val="en-US" w:eastAsia="it-IT"/>
        </w:rPr>
        <w:t>Chimica</w:t>
      </w:r>
      <w:proofErr w:type="spellEnd"/>
      <w:r w:rsidRPr="00E82756">
        <w:rPr>
          <w:rFonts w:eastAsia="Times New Roman" w:cs="Arial"/>
          <w:iCs/>
          <w:color w:val="000000"/>
          <w:sz w:val="24"/>
          <w:szCs w:val="24"/>
          <w:lang w:val="en-US" w:eastAsia="it-IT"/>
        </w:rPr>
        <w:t xml:space="preserve"> e </w:t>
      </w:r>
      <w:proofErr w:type="spellStart"/>
      <w:r w:rsidRPr="00E82756">
        <w:rPr>
          <w:rFonts w:eastAsia="Times New Roman" w:cs="Arial"/>
          <w:iCs/>
          <w:color w:val="000000"/>
          <w:sz w:val="24"/>
          <w:szCs w:val="24"/>
          <w:lang w:val="en-US" w:eastAsia="it-IT"/>
        </w:rPr>
        <w:t>Tecnologia</w:t>
      </w:r>
      <w:proofErr w:type="spellEnd"/>
      <w:r w:rsidRPr="00E82756">
        <w:rPr>
          <w:rFonts w:eastAsia="Times New Roman" w:cs="Arial"/>
          <w:iCs/>
          <w:color w:val="000000"/>
          <w:sz w:val="24"/>
          <w:szCs w:val="24"/>
          <w:lang w:val="en-US" w:eastAsia="it-IT"/>
        </w:rPr>
        <w:t xml:space="preserve"> </w:t>
      </w:r>
      <w:proofErr w:type="spellStart"/>
      <w:r w:rsidRPr="00E82756">
        <w:rPr>
          <w:rFonts w:eastAsia="Times New Roman" w:cs="Arial"/>
          <w:iCs/>
          <w:color w:val="000000"/>
          <w:sz w:val="24"/>
          <w:szCs w:val="24"/>
          <w:lang w:val="en-US" w:eastAsia="it-IT"/>
        </w:rPr>
        <w:t>Farmaceutiche</w:t>
      </w:r>
      <w:proofErr w:type="spellEnd"/>
      <w:r w:rsidRPr="00E82756">
        <w:rPr>
          <w:rFonts w:eastAsia="Times New Roman" w:cs="Arial"/>
          <w:iCs/>
          <w:color w:val="000000"/>
          <w:sz w:val="24"/>
          <w:szCs w:val="24"/>
          <w:lang w:val="en-US" w:eastAsia="it-IT"/>
        </w:rPr>
        <w:t xml:space="preserve"> at the University of Perugia in 1983. During 1985-1986 he has been involved in research on </w:t>
      </w:r>
      <w:proofErr w:type="spellStart"/>
      <w:r w:rsidRPr="00E82756">
        <w:rPr>
          <w:rFonts w:eastAsia="Times New Roman" w:cs="Arial"/>
          <w:iCs/>
          <w:color w:val="000000"/>
          <w:sz w:val="24"/>
          <w:szCs w:val="24"/>
          <w:lang w:val="en-US" w:eastAsia="it-IT"/>
        </w:rPr>
        <w:t>peptidic</w:t>
      </w:r>
      <w:proofErr w:type="spellEnd"/>
      <w:r w:rsidRPr="00E82756">
        <w:rPr>
          <w:rFonts w:eastAsia="Times New Roman" w:cs="Arial"/>
          <w:iCs/>
          <w:color w:val="000000"/>
          <w:sz w:val="24"/>
          <w:szCs w:val="24"/>
          <w:lang w:val="en-US" w:eastAsia="it-IT"/>
        </w:rPr>
        <w:t xml:space="preserve"> </w:t>
      </w:r>
      <w:proofErr w:type="spellStart"/>
      <w:r w:rsidRPr="00E82756">
        <w:rPr>
          <w:rFonts w:eastAsia="Times New Roman" w:cs="Arial"/>
          <w:iCs/>
          <w:color w:val="000000"/>
          <w:sz w:val="24"/>
          <w:szCs w:val="24"/>
          <w:lang w:val="en-US" w:eastAsia="it-IT"/>
        </w:rPr>
        <w:t>phytotoxins</w:t>
      </w:r>
      <w:proofErr w:type="spellEnd"/>
      <w:r w:rsidRPr="00E82756">
        <w:rPr>
          <w:rFonts w:eastAsia="Times New Roman" w:cs="Arial"/>
          <w:iCs/>
          <w:color w:val="000000"/>
          <w:sz w:val="24"/>
          <w:szCs w:val="24"/>
          <w:lang w:val="en-US" w:eastAsia="it-IT"/>
        </w:rPr>
        <w:t xml:space="preserve"> for National Institute of Health (ISS) in Rome (Italy). From 1986 to 1993 he continued his studies in the field of peptides at the Institute of Pharmaceutical Chemistry and Pharmaceutical Technology, University of Perugia (Italy). Between </w:t>
      </w:r>
      <w:proofErr w:type="spellStart"/>
      <w:r w:rsidRPr="00E82756">
        <w:rPr>
          <w:rFonts w:eastAsia="Times New Roman" w:cs="Arial"/>
          <w:iCs/>
          <w:color w:val="000000"/>
          <w:sz w:val="24"/>
          <w:szCs w:val="24"/>
          <w:lang w:val="en-US" w:eastAsia="it-IT"/>
        </w:rPr>
        <w:t>april</w:t>
      </w:r>
      <w:proofErr w:type="spellEnd"/>
      <w:r w:rsidRPr="00E82756">
        <w:rPr>
          <w:rFonts w:eastAsia="Times New Roman" w:cs="Arial"/>
          <w:iCs/>
          <w:color w:val="000000"/>
          <w:sz w:val="24"/>
          <w:szCs w:val="24"/>
          <w:lang w:val="en-US" w:eastAsia="it-IT"/>
        </w:rPr>
        <w:t xml:space="preserve"> 1993 and March 1994 he undertook a research project in the Center for Controlled Chemical Delivery (CCCD) at the University of Utah, Salt Lake City Utah (USA). The project was granted by the Italian National Research Council (CNR) and focused on the development of liposomal delivery system for peptides. Moreover he spent several working periods as a visiting researcher at the </w:t>
      </w:r>
      <w:proofErr w:type="spellStart"/>
      <w:r w:rsidRPr="00E82756">
        <w:rPr>
          <w:rFonts w:eastAsia="Times New Roman" w:cs="Arial"/>
          <w:iCs/>
          <w:color w:val="000000"/>
          <w:sz w:val="24"/>
          <w:szCs w:val="24"/>
          <w:lang w:val="en-US" w:eastAsia="it-IT"/>
        </w:rPr>
        <w:t>Depto</w:t>
      </w:r>
      <w:proofErr w:type="spellEnd"/>
      <w:r w:rsidRPr="00E82756">
        <w:rPr>
          <w:rFonts w:eastAsia="Times New Roman" w:cs="Arial"/>
          <w:iCs/>
          <w:color w:val="000000"/>
          <w:sz w:val="24"/>
          <w:szCs w:val="24"/>
          <w:lang w:val="en-US" w:eastAsia="it-IT"/>
        </w:rPr>
        <w:t xml:space="preserve"> </w:t>
      </w:r>
      <w:proofErr w:type="spellStart"/>
      <w:r w:rsidRPr="00E82756">
        <w:rPr>
          <w:rFonts w:eastAsia="Times New Roman" w:cs="Arial"/>
          <w:iCs/>
          <w:color w:val="000000"/>
          <w:sz w:val="24"/>
          <w:szCs w:val="24"/>
          <w:lang w:val="en-US" w:eastAsia="it-IT"/>
        </w:rPr>
        <w:t>Quimica</w:t>
      </w:r>
      <w:proofErr w:type="spellEnd"/>
      <w:r w:rsidRPr="00E82756">
        <w:rPr>
          <w:rFonts w:eastAsia="Times New Roman" w:cs="Arial"/>
          <w:iCs/>
          <w:color w:val="000000"/>
          <w:sz w:val="24"/>
          <w:szCs w:val="24"/>
          <w:lang w:val="en-US" w:eastAsia="it-IT"/>
        </w:rPr>
        <w:t xml:space="preserve"> </w:t>
      </w:r>
      <w:proofErr w:type="spellStart"/>
      <w:r w:rsidRPr="00E82756">
        <w:rPr>
          <w:rFonts w:eastAsia="Times New Roman" w:cs="Arial"/>
          <w:iCs/>
          <w:color w:val="000000"/>
          <w:sz w:val="24"/>
          <w:szCs w:val="24"/>
          <w:lang w:val="en-US" w:eastAsia="it-IT"/>
        </w:rPr>
        <w:t>Fisica</w:t>
      </w:r>
      <w:proofErr w:type="spellEnd"/>
      <w:r w:rsidRPr="00E82756">
        <w:rPr>
          <w:rFonts w:eastAsia="Times New Roman" w:cs="Arial"/>
          <w:iCs/>
          <w:color w:val="000000"/>
          <w:sz w:val="24"/>
          <w:szCs w:val="24"/>
          <w:lang w:val="en-US" w:eastAsia="it-IT"/>
        </w:rPr>
        <w:t xml:space="preserve"> II, Fac. </w:t>
      </w:r>
      <w:proofErr w:type="spellStart"/>
      <w:r w:rsidRPr="00E82756">
        <w:rPr>
          <w:rFonts w:eastAsia="Times New Roman" w:cs="Arial"/>
          <w:iCs/>
          <w:color w:val="000000"/>
          <w:sz w:val="24"/>
          <w:szCs w:val="24"/>
          <w:lang w:val="en-US" w:eastAsia="it-IT"/>
        </w:rPr>
        <w:t>Farmacia</w:t>
      </w:r>
      <w:proofErr w:type="spellEnd"/>
      <w:r w:rsidRPr="00E82756">
        <w:rPr>
          <w:rFonts w:eastAsia="Times New Roman" w:cs="Arial"/>
          <w:iCs/>
          <w:color w:val="000000"/>
          <w:sz w:val="24"/>
          <w:szCs w:val="24"/>
          <w:lang w:val="en-US" w:eastAsia="it-IT"/>
        </w:rPr>
        <w:t xml:space="preserve">, Universidad </w:t>
      </w:r>
      <w:proofErr w:type="spellStart"/>
      <w:r w:rsidRPr="00E82756">
        <w:rPr>
          <w:rFonts w:eastAsia="Times New Roman" w:cs="Arial"/>
          <w:iCs/>
          <w:color w:val="000000"/>
          <w:sz w:val="24"/>
          <w:szCs w:val="24"/>
          <w:lang w:val="en-US" w:eastAsia="it-IT"/>
        </w:rPr>
        <w:t>Complutense</w:t>
      </w:r>
      <w:proofErr w:type="spellEnd"/>
      <w:r w:rsidRPr="00E82756">
        <w:rPr>
          <w:rFonts w:eastAsia="Times New Roman" w:cs="Arial"/>
          <w:iCs/>
          <w:color w:val="000000"/>
          <w:sz w:val="24"/>
          <w:szCs w:val="24"/>
          <w:lang w:val="en-US" w:eastAsia="it-IT"/>
        </w:rPr>
        <w:t xml:space="preserve"> Madrid (Spain) in order to improve his knowledge on the use of different techniques for drug-phospholipid membrane interaction studies. </w:t>
      </w:r>
    </w:p>
    <w:p w:rsidR="00FC62C6" w:rsidRPr="00E82756" w:rsidRDefault="00FC62C6" w:rsidP="00FC62C6">
      <w:pPr>
        <w:spacing w:after="0"/>
        <w:jc w:val="both"/>
        <w:rPr>
          <w:rFonts w:eastAsia="Times New Roman" w:cs="Arial"/>
          <w:iCs/>
          <w:color w:val="000000"/>
          <w:sz w:val="24"/>
          <w:szCs w:val="24"/>
          <w:lang w:val="en-US" w:eastAsia="it-IT"/>
        </w:rPr>
      </w:pPr>
      <w:r w:rsidRPr="00E82756">
        <w:rPr>
          <w:rFonts w:eastAsia="Times New Roman" w:cs="Arial"/>
          <w:iCs/>
          <w:color w:val="000000"/>
          <w:sz w:val="24"/>
          <w:szCs w:val="24"/>
          <w:lang w:val="en-US" w:eastAsia="it-IT"/>
        </w:rPr>
        <w:t>From 2003 he is Director of the School of specialization in Hospital Pharmacy of the Faculty of Pharmacy of the University of Perugia (Italy).</w:t>
      </w:r>
    </w:p>
    <w:p w:rsidR="00FC62C6" w:rsidRPr="0060722F" w:rsidRDefault="00FC62C6" w:rsidP="00FC62C6">
      <w:pPr>
        <w:spacing w:after="0"/>
        <w:jc w:val="both"/>
        <w:rPr>
          <w:rFonts w:eastAsia="Times New Roman" w:cs="Arial"/>
          <w:iCs/>
          <w:color w:val="000000"/>
          <w:sz w:val="24"/>
          <w:szCs w:val="24"/>
          <w:lang w:val="en-US" w:eastAsia="it-IT"/>
        </w:rPr>
      </w:pPr>
      <w:r w:rsidRPr="0060722F">
        <w:rPr>
          <w:rFonts w:eastAsia="Times New Roman" w:cs="Arial"/>
          <w:iCs/>
          <w:color w:val="000000"/>
          <w:sz w:val="24"/>
          <w:szCs w:val="24"/>
          <w:lang w:val="en-US" w:eastAsia="it-IT"/>
        </w:rPr>
        <w:t xml:space="preserve">From 2007 to 2009 has been appointed expert </w:t>
      </w:r>
      <w:r>
        <w:rPr>
          <w:rFonts w:eastAsia="Times New Roman" w:cs="Arial"/>
          <w:iCs/>
          <w:color w:val="000000"/>
          <w:sz w:val="24"/>
          <w:szCs w:val="24"/>
          <w:lang w:val="en-US" w:eastAsia="it-IT"/>
        </w:rPr>
        <w:t>of</w:t>
      </w:r>
      <w:r w:rsidRPr="0060722F">
        <w:rPr>
          <w:rFonts w:eastAsia="Times New Roman" w:cs="Arial"/>
          <w:iCs/>
          <w:color w:val="000000"/>
          <w:sz w:val="24"/>
          <w:szCs w:val="24"/>
          <w:lang w:val="en-US" w:eastAsia="it-IT"/>
        </w:rPr>
        <w:t xml:space="preserve"> AIFA (Italian Medicines Agency)</w:t>
      </w:r>
      <w:r>
        <w:rPr>
          <w:rFonts w:eastAsia="Times New Roman" w:cs="Arial"/>
          <w:iCs/>
          <w:color w:val="000000"/>
          <w:sz w:val="24"/>
          <w:szCs w:val="24"/>
          <w:lang w:val="en-US" w:eastAsia="it-IT"/>
        </w:rPr>
        <w:t xml:space="preserve"> in the </w:t>
      </w:r>
      <w:r w:rsidRPr="0060722F">
        <w:rPr>
          <w:rFonts w:eastAsia="Times New Roman" w:cs="Arial"/>
          <w:iCs/>
          <w:color w:val="000000"/>
          <w:sz w:val="24"/>
          <w:szCs w:val="24"/>
          <w:lang w:val="en-US" w:eastAsia="it-IT"/>
        </w:rPr>
        <w:t>technical-scientific assessment</w:t>
      </w:r>
      <w:r w:rsidRPr="0019591F">
        <w:rPr>
          <w:rFonts w:eastAsia="Times New Roman" w:cs="Arial"/>
          <w:iCs/>
          <w:color w:val="000000"/>
          <w:sz w:val="24"/>
          <w:szCs w:val="24"/>
          <w:lang w:val="en-US" w:eastAsia="it-IT"/>
        </w:rPr>
        <w:t xml:space="preserve"> of </w:t>
      </w:r>
      <w:proofErr w:type="spellStart"/>
      <w:r w:rsidRPr="0019591F">
        <w:rPr>
          <w:rFonts w:eastAsia="Times New Roman" w:cs="Arial"/>
          <w:iCs/>
          <w:color w:val="000000"/>
          <w:sz w:val="24"/>
          <w:szCs w:val="24"/>
          <w:lang w:val="en-US" w:eastAsia="it-IT"/>
        </w:rPr>
        <w:t>documantation</w:t>
      </w:r>
      <w:proofErr w:type="spellEnd"/>
      <w:r w:rsidRPr="0019591F">
        <w:rPr>
          <w:rFonts w:eastAsia="Times New Roman" w:cs="Arial"/>
          <w:iCs/>
          <w:color w:val="000000"/>
          <w:sz w:val="24"/>
          <w:szCs w:val="24"/>
          <w:lang w:val="en-US" w:eastAsia="it-IT"/>
        </w:rPr>
        <w:t xml:space="preserve"> </w:t>
      </w:r>
      <w:r>
        <w:rPr>
          <w:rFonts w:eastAsia="Times New Roman" w:cs="Arial"/>
          <w:iCs/>
          <w:color w:val="000000"/>
          <w:sz w:val="24"/>
          <w:szCs w:val="24"/>
          <w:lang w:val="en-US" w:eastAsia="it-IT"/>
        </w:rPr>
        <w:t xml:space="preserve">for </w:t>
      </w:r>
      <w:r w:rsidRPr="0060722F">
        <w:rPr>
          <w:rFonts w:eastAsia="Times New Roman" w:cs="Arial"/>
          <w:iCs/>
          <w:color w:val="000000"/>
          <w:sz w:val="24"/>
          <w:szCs w:val="24"/>
          <w:lang w:val="en-US" w:eastAsia="it-IT"/>
        </w:rPr>
        <w:t>new Marketing Authorization requests</w:t>
      </w:r>
      <w:r>
        <w:rPr>
          <w:rFonts w:eastAsia="Times New Roman" w:cs="Arial"/>
          <w:iCs/>
          <w:color w:val="000000"/>
          <w:sz w:val="24"/>
          <w:szCs w:val="24"/>
          <w:lang w:val="en-US" w:eastAsia="it-IT"/>
        </w:rPr>
        <w:t>.</w:t>
      </w:r>
    </w:p>
    <w:p w:rsidR="00FC62C6" w:rsidRPr="00E82756" w:rsidRDefault="00FC62C6" w:rsidP="00FC62C6">
      <w:pPr>
        <w:spacing w:after="0"/>
        <w:jc w:val="both"/>
        <w:rPr>
          <w:rFonts w:eastAsia="Times New Roman" w:cs="Arial"/>
          <w:iCs/>
          <w:color w:val="000000"/>
          <w:sz w:val="24"/>
          <w:szCs w:val="24"/>
          <w:lang w:val="en-US" w:eastAsia="it-IT"/>
        </w:rPr>
      </w:pPr>
      <w:r>
        <w:rPr>
          <w:rFonts w:eastAsia="Times New Roman" w:cs="Arial"/>
          <w:iCs/>
          <w:color w:val="000000"/>
          <w:sz w:val="24"/>
          <w:szCs w:val="24"/>
          <w:lang w:val="en-US" w:eastAsia="it-IT"/>
        </w:rPr>
        <w:t>From 201</w:t>
      </w:r>
      <w:r w:rsidRPr="00E82756">
        <w:rPr>
          <w:rFonts w:eastAsia="Times New Roman" w:cs="Arial"/>
          <w:iCs/>
          <w:color w:val="000000"/>
          <w:sz w:val="24"/>
          <w:szCs w:val="24"/>
          <w:lang w:val="en-US" w:eastAsia="it-IT"/>
        </w:rPr>
        <w:t xml:space="preserve">1 he is </w:t>
      </w:r>
      <w:r>
        <w:rPr>
          <w:rFonts w:eastAsia="Times New Roman" w:cs="Arial"/>
          <w:iCs/>
          <w:color w:val="000000"/>
          <w:sz w:val="24"/>
          <w:szCs w:val="24"/>
          <w:lang w:val="en-US" w:eastAsia="it-IT"/>
        </w:rPr>
        <w:t>Full</w:t>
      </w:r>
      <w:r w:rsidRPr="00E82756">
        <w:rPr>
          <w:rFonts w:eastAsia="Times New Roman" w:cs="Arial"/>
          <w:iCs/>
          <w:color w:val="000000"/>
          <w:sz w:val="24"/>
          <w:szCs w:val="24"/>
          <w:lang w:val="en-US" w:eastAsia="it-IT"/>
        </w:rPr>
        <w:t xml:space="preserve"> Professor at the Department of Chemistry and Technology of Drugs, Faculty of Pharmacy, University of Perugia Italy.</w:t>
      </w:r>
    </w:p>
    <w:p w:rsidR="00FC62C6" w:rsidRPr="00BE5510" w:rsidRDefault="00FC62C6" w:rsidP="00FC62C6">
      <w:pPr>
        <w:spacing w:after="0"/>
        <w:jc w:val="both"/>
        <w:rPr>
          <w:rFonts w:eastAsia="Times New Roman" w:cs="Arial"/>
          <w:iCs/>
          <w:color w:val="000000"/>
          <w:sz w:val="24"/>
          <w:szCs w:val="24"/>
          <w:lang w:val="en-US" w:eastAsia="it-IT"/>
        </w:rPr>
      </w:pPr>
      <w:r w:rsidRPr="00BE5510">
        <w:rPr>
          <w:rFonts w:eastAsia="Times New Roman" w:cs="Arial"/>
          <w:iCs/>
          <w:color w:val="000000"/>
          <w:sz w:val="24"/>
          <w:szCs w:val="24"/>
          <w:lang w:val="en-US" w:eastAsia="it-IT"/>
        </w:rPr>
        <w:t xml:space="preserve">Member of executive board of the Italian Consortium TEFARCO </w:t>
      </w:r>
      <w:proofErr w:type="spellStart"/>
      <w:r w:rsidRPr="00BE5510">
        <w:rPr>
          <w:rFonts w:eastAsia="Times New Roman" w:cs="Arial"/>
          <w:iCs/>
          <w:color w:val="000000"/>
          <w:sz w:val="24"/>
          <w:szCs w:val="24"/>
          <w:lang w:val="en-US" w:eastAsia="it-IT"/>
        </w:rPr>
        <w:t>Innova</w:t>
      </w:r>
      <w:proofErr w:type="spellEnd"/>
      <w:r w:rsidRPr="00BE5510">
        <w:rPr>
          <w:rFonts w:eastAsia="Times New Roman" w:cs="Arial"/>
          <w:iCs/>
          <w:color w:val="000000"/>
          <w:sz w:val="24"/>
          <w:szCs w:val="24"/>
          <w:lang w:val="en-US" w:eastAsia="it-IT"/>
        </w:rPr>
        <w:t xml:space="preserve"> (2011-2014)</w:t>
      </w:r>
    </w:p>
    <w:p w:rsidR="00FC62C6" w:rsidRPr="00E82756" w:rsidRDefault="00FC62C6" w:rsidP="00FC62C6">
      <w:pPr>
        <w:spacing w:after="0"/>
        <w:jc w:val="both"/>
        <w:rPr>
          <w:rFonts w:eastAsia="Times New Roman" w:cs="Arial"/>
          <w:iCs/>
          <w:color w:val="000000"/>
          <w:sz w:val="24"/>
          <w:szCs w:val="24"/>
          <w:lang w:val="en-US" w:eastAsia="it-IT"/>
        </w:rPr>
      </w:pPr>
      <w:r>
        <w:rPr>
          <w:rFonts w:eastAsia="Times New Roman" w:cs="Arial"/>
          <w:iCs/>
          <w:color w:val="000000"/>
          <w:sz w:val="24"/>
          <w:szCs w:val="24"/>
          <w:lang w:val="en-US" w:eastAsia="it-IT"/>
        </w:rPr>
        <w:t xml:space="preserve">He is member of the ADRITELF, </w:t>
      </w:r>
      <w:r w:rsidRPr="00E82756">
        <w:rPr>
          <w:rFonts w:eastAsia="Times New Roman" w:cs="Arial"/>
          <w:iCs/>
          <w:color w:val="000000"/>
          <w:sz w:val="24"/>
          <w:szCs w:val="24"/>
          <w:lang w:val="en-US" w:eastAsia="it-IT"/>
        </w:rPr>
        <w:t>AAPS</w:t>
      </w:r>
      <w:r>
        <w:rPr>
          <w:rFonts w:eastAsia="Times New Roman" w:cs="Arial"/>
          <w:iCs/>
          <w:color w:val="000000"/>
          <w:sz w:val="24"/>
          <w:szCs w:val="24"/>
          <w:lang w:val="en-US" w:eastAsia="it-IT"/>
        </w:rPr>
        <w:t xml:space="preserve"> and AFI</w:t>
      </w:r>
      <w:r w:rsidRPr="00E82756">
        <w:rPr>
          <w:rFonts w:eastAsia="Times New Roman" w:cs="Arial"/>
          <w:iCs/>
          <w:color w:val="000000"/>
          <w:sz w:val="24"/>
          <w:szCs w:val="24"/>
          <w:lang w:val="en-US" w:eastAsia="it-IT"/>
        </w:rPr>
        <w:t>.</w:t>
      </w:r>
    </w:p>
    <w:p w:rsidR="00FC62C6" w:rsidRPr="00E82756" w:rsidRDefault="00FC62C6" w:rsidP="00FC62C6">
      <w:pPr>
        <w:spacing w:after="0"/>
        <w:jc w:val="both"/>
        <w:rPr>
          <w:rFonts w:eastAsia="Times New Roman" w:cs="Arial"/>
          <w:iCs/>
          <w:color w:val="000000"/>
          <w:sz w:val="24"/>
          <w:szCs w:val="24"/>
          <w:lang w:val="en-US" w:eastAsia="it-IT"/>
        </w:rPr>
      </w:pPr>
    </w:p>
    <w:p w:rsidR="00FC62C6" w:rsidRDefault="00FC62C6" w:rsidP="00FC62C6">
      <w:pPr>
        <w:spacing w:after="0"/>
        <w:jc w:val="both"/>
        <w:rPr>
          <w:rFonts w:eastAsia="Times New Roman" w:cs="Arial"/>
          <w:iCs/>
          <w:color w:val="000000"/>
          <w:sz w:val="24"/>
          <w:szCs w:val="24"/>
          <w:lang w:val="en-US" w:eastAsia="it-IT"/>
        </w:rPr>
      </w:pPr>
      <w:r w:rsidRPr="00E82756">
        <w:rPr>
          <w:rFonts w:eastAsia="Times New Roman" w:cs="Arial"/>
          <w:iCs/>
          <w:color w:val="000000"/>
          <w:sz w:val="24"/>
          <w:szCs w:val="24"/>
          <w:lang w:val="en-US" w:eastAsia="it-IT"/>
        </w:rPr>
        <w:t xml:space="preserve">He is the author of </w:t>
      </w:r>
      <w:r>
        <w:rPr>
          <w:rFonts w:eastAsia="Times New Roman" w:cs="Arial"/>
          <w:iCs/>
          <w:color w:val="000000"/>
          <w:sz w:val="24"/>
          <w:szCs w:val="24"/>
          <w:lang w:val="en-US" w:eastAsia="it-IT"/>
        </w:rPr>
        <w:t>67</w:t>
      </w:r>
      <w:r w:rsidRPr="00E82756">
        <w:rPr>
          <w:rFonts w:eastAsia="Times New Roman" w:cs="Arial"/>
          <w:iCs/>
          <w:color w:val="000000"/>
          <w:sz w:val="24"/>
          <w:szCs w:val="24"/>
          <w:lang w:val="en-US" w:eastAsia="it-IT"/>
        </w:rPr>
        <w:t xml:space="preserve"> papers, </w:t>
      </w:r>
      <w:r>
        <w:rPr>
          <w:rFonts w:eastAsia="Times New Roman" w:cs="Arial"/>
          <w:iCs/>
          <w:color w:val="000000"/>
          <w:sz w:val="24"/>
          <w:szCs w:val="24"/>
          <w:lang w:val="en-US" w:eastAsia="it-IT"/>
        </w:rPr>
        <w:t>20</w:t>
      </w:r>
      <w:r w:rsidRPr="00E82756">
        <w:rPr>
          <w:rFonts w:eastAsia="Times New Roman" w:cs="Arial"/>
          <w:iCs/>
          <w:color w:val="000000"/>
          <w:sz w:val="24"/>
          <w:szCs w:val="24"/>
          <w:lang w:val="en-US" w:eastAsia="it-IT"/>
        </w:rPr>
        <w:t xml:space="preserve"> proceedings and presented </w:t>
      </w:r>
      <w:r>
        <w:rPr>
          <w:rFonts w:eastAsia="Times New Roman" w:cs="Arial"/>
          <w:iCs/>
          <w:color w:val="000000"/>
          <w:sz w:val="24"/>
          <w:szCs w:val="24"/>
          <w:lang w:val="en-US" w:eastAsia="it-IT"/>
        </w:rPr>
        <w:t>82</w:t>
      </w:r>
      <w:r w:rsidRPr="00E82756">
        <w:rPr>
          <w:rFonts w:eastAsia="Times New Roman" w:cs="Arial"/>
          <w:iCs/>
          <w:color w:val="000000"/>
          <w:sz w:val="24"/>
          <w:szCs w:val="24"/>
          <w:lang w:val="en-US" w:eastAsia="it-IT"/>
        </w:rPr>
        <w:t xml:space="preserve"> contributions to nati</w:t>
      </w:r>
      <w:r>
        <w:rPr>
          <w:rFonts w:eastAsia="Times New Roman" w:cs="Arial"/>
          <w:iCs/>
          <w:color w:val="000000"/>
          <w:sz w:val="24"/>
          <w:szCs w:val="24"/>
          <w:lang w:val="en-US" w:eastAsia="it-IT"/>
        </w:rPr>
        <w:t xml:space="preserve">onal and international meetings and 2 </w:t>
      </w:r>
      <w:r>
        <w:rPr>
          <w:rFonts w:eastAsia="Times New Roman" w:cs="Arial"/>
          <w:iCs/>
          <w:color w:val="000000"/>
          <w:sz w:val="24"/>
          <w:szCs w:val="24"/>
          <w:lang w:val="en-US" w:eastAsia="it-IT"/>
        </w:rPr>
        <w:t>book</w:t>
      </w:r>
      <w:r>
        <w:rPr>
          <w:rFonts w:eastAsia="Times New Roman" w:cs="Arial"/>
          <w:iCs/>
          <w:color w:val="000000"/>
          <w:sz w:val="24"/>
          <w:szCs w:val="24"/>
          <w:lang w:val="en-US" w:eastAsia="it-IT"/>
        </w:rPr>
        <w:t xml:space="preserve"> chapters.</w:t>
      </w:r>
    </w:p>
    <w:p w:rsidR="00FC62C6" w:rsidRDefault="00FC62C6" w:rsidP="00FC62C6">
      <w:pPr>
        <w:spacing w:after="0"/>
        <w:jc w:val="both"/>
        <w:rPr>
          <w:rFonts w:eastAsia="Times New Roman" w:cs="Arial"/>
          <w:iCs/>
          <w:color w:val="000000"/>
          <w:sz w:val="24"/>
          <w:szCs w:val="24"/>
          <w:lang w:val="en-US" w:eastAsia="it-IT"/>
        </w:rPr>
      </w:pPr>
    </w:p>
    <w:p w:rsidR="00FC62C6" w:rsidRPr="00E82756" w:rsidRDefault="00FC62C6" w:rsidP="00FC62C6">
      <w:pPr>
        <w:spacing w:after="0"/>
        <w:jc w:val="both"/>
        <w:rPr>
          <w:rFonts w:eastAsia="Times New Roman" w:cs="Arial"/>
          <w:iCs/>
          <w:color w:val="000000"/>
          <w:sz w:val="24"/>
          <w:szCs w:val="24"/>
          <w:lang w:val="en-US" w:eastAsia="it-IT"/>
        </w:rPr>
      </w:pPr>
      <w:r w:rsidRPr="00E82756">
        <w:rPr>
          <w:rFonts w:eastAsia="Times New Roman" w:cs="Arial"/>
          <w:iCs/>
          <w:color w:val="000000"/>
          <w:sz w:val="24"/>
          <w:szCs w:val="24"/>
          <w:lang w:val="en-US" w:eastAsia="it-IT"/>
        </w:rPr>
        <w:t>Main research</w:t>
      </w:r>
      <w:r w:rsidRPr="00E82756">
        <w:rPr>
          <w:rFonts w:eastAsia="Times New Roman" w:cs="Arial"/>
          <w:iCs/>
          <w:color w:val="000000"/>
          <w:sz w:val="24"/>
          <w:szCs w:val="24"/>
          <w:lang w:val="en-US" w:eastAsia="it-IT"/>
        </w:rPr>
        <w:t xml:space="preserve"> </w:t>
      </w:r>
      <w:r w:rsidRPr="00E82756">
        <w:rPr>
          <w:rFonts w:eastAsia="Times New Roman" w:cs="Arial"/>
          <w:iCs/>
          <w:color w:val="000000"/>
          <w:sz w:val="24"/>
          <w:szCs w:val="24"/>
          <w:lang w:val="en-US" w:eastAsia="it-IT"/>
        </w:rPr>
        <w:t>fields</w:t>
      </w:r>
      <w:bookmarkStart w:id="0" w:name="_GoBack"/>
      <w:bookmarkEnd w:id="0"/>
      <w:r w:rsidRPr="00E82756">
        <w:rPr>
          <w:rFonts w:eastAsia="Times New Roman" w:cs="Arial"/>
          <w:iCs/>
          <w:color w:val="000000"/>
          <w:sz w:val="24"/>
          <w:szCs w:val="24"/>
          <w:lang w:val="en-US" w:eastAsia="it-IT"/>
        </w:rPr>
        <w:t xml:space="preserve">: </w:t>
      </w:r>
    </w:p>
    <w:p w:rsidR="00FC62C6" w:rsidRPr="00E82756" w:rsidRDefault="00FC62C6" w:rsidP="00FC62C6">
      <w:pPr>
        <w:spacing w:after="0"/>
        <w:jc w:val="both"/>
        <w:rPr>
          <w:rFonts w:eastAsia="Times New Roman" w:cs="Arial"/>
          <w:iCs/>
          <w:color w:val="000000"/>
          <w:sz w:val="24"/>
          <w:szCs w:val="24"/>
          <w:lang w:val="en-US" w:eastAsia="it-IT"/>
        </w:rPr>
      </w:pPr>
      <w:r w:rsidRPr="00E82756">
        <w:rPr>
          <w:rFonts w:eastAsia="Times New Roman" w:cs="Arial"/>
          <w:iCs/>
          <w:color w:val="000000"/>
          <w:sz w:val="24"/>
          <w:szCs w:val="24"/>
          <w:lang w:val="en-US" w:eastAsia="it-IT"/>
        </w:rPr>
        <w:t xml:space="preserve">1. Development of </w:t>
      </w:r>
      <w:proofErr w:type="spellStart"/>
      <w:r w:rsidRPr="00E82756">
        <w:rPr>
          <w:rFonts w:eastAsia="Times New Roman" w:cs="Arial"/>
          <w:iCs/>
          <w:color w:val="000000"/>
          <w:sz w:val="24"/>
          <w:szCs w:val="24"/>
          <w:lang w:val="en-US" w:eastAsia="it-IT"/>
        </w:rPr>
        <w:t>microparticulate</w:t>
      </w:r>
      <w:proofErr w:type="spellEnd"/>
      <w:r w:rsidRPr="00E82756">
        <w:rPr>
          <w:rFonts w:eastAsia="Times New Roman" w:cs="Arial"/>
          <w:iCs/>
          <w:color w:val="000000"/>
          <w:sz w:val="24"/>
          <w:szCs w:val="24"/>
          <w:lang w:val="en-US" w:eastAsia="it-IT"/>
        </w:rPr>
        <w:t xml:space="preserve"> systems for pulmonary delivery of drugs </w:t>
      </w:r>
    </w:p>
    <w:p w:rsidR="00FC62C6" w:rsidRPr="00E82756" w:rsidRDefault="00FC62C6" w:rsidP="00FC62C6">
      <w:pPr>
        <w:spacing w:after="0"/>
        <w:jc w:val="both"/>
        <w:rPr>
          <w:rFonts w:eastAsia="Times New Roman" w:cs="Arial"/>
          <w:iCs/>
          <w:color w:val="000000"/>
          <w:sz w:val="24"/>
          <w:szCs w:val="24"/>
          <w:lang w:val="en-US" w:eastAsia="it-IT"/>
        </w:rPr>
      </w:pPr>
      <w:r w:rsidRPr="00E82756">
        <w:rPr>
          <w:rFonts w:eastAsia="Times New Roman" w:cs="Arial"/>
          <w:iCs/>
          <w:color w:val="000000"/>
          <w:sz w:val="24"/>
          <w:szCs w:val="24"/>
          <w:lang w:val="en-US" w:eastAsia="it-IT"/>
        </w:rPr>
        <w:t xml:space="preserve">2. Use of liposomes and nanoparticles as carriers for active pharmaceutical compounds </w:t>
      </w:r>
    </w:p>
    <w:p w:rsidR="00FC62C6" w:rsidRPr="00E82756" w:rsidRDefault="00FC62C6" w:rsidP="00FC62C6">
      <w:pPr>
        <w:spacing w:after="0"/>
        <w:jc w:val="both"/>
        <w:rPr>
          <w:rFonts w:eastAsia="Times New Roman" w:cs="Arial"/>
          <w:iCs/>
          <w:color w:val="000000"/>
          <w:sz w:val="24"/>
          <w:szCs w:val="24"/>
          <w:lang w:val="en-US" w:eastAsia="it-IT"/>
        </w:rPr>
      </w:pPr>
      <w:r w:rsidRPr="00E82756">
        <w:rPr>
          <w:rFonts w:eastAsia="Times New Roman" w:cs="Arial"/>
          <w:iCs/>
          <w:color w:val="000000"/>
          <w:sz w:val="24"/>
          <w:szCs w:val="24"/>
          <w:lang w:val="en-US" w:eastAsia="it-IT"/>
        </w:rPr>
        <w:t xml:space="preserve">3. Co-microencapsulation of pancreatic </w:t>
      </w:r>
      <w:proofErr w:type="spellStart"/>
      <w:r w:rsidRPr="00E82756">
        <w:rPr>
          <w:rFonts w:eastAsia="Times New Roman" w:cs="Arial"/>
          <w:iCs/>
          <w:color w:val="000000"/>
          <w:sz w:val="24"/>
          <w:szCs w:val="24"/>
          <w:lang w:val="en-US" w:eastAsia="it-IT"/>
        </w:rPr>
        <w:t>inslets</w:t>
      </w:r>
      <w:proofErr w:type="spellEnd"/>
      <w:r w:rsidRPr="00E82756">
        <w:rPr>
          <w:rFonts w:eastAsia="Times New Roman" w:cs="Arial"/>
          <w:iCs/>
          <w:color w:val="000000"/>
          <w:sz w:val="24"/>
          <w:szCs w:val="24"/>
          <w:lang w:val="en-US" w:eastAsia="it-IT"/>
        </w:rPr>
        <w:t xml:space="preserve"> with anti-oxidants and </w:t>
      </w:r>
      <w:proofErr w:type="spellStart"/>
      <w:r w:rsidRPr="00E82756">
        <w:rPr>
          <w:rFonts w:eastAsia="Times New Roman" w:cs="Arial"/>
          <w:iCs/>
          <w:color w:val="000000"/>
          <w:sz w:val="24"/>
          <w:szCs w:val="24"/>
          <w:lang w:val="en-US" w:eastAsia="it-IT"/>
        </w:rPr>
        <w:t>antiinflammatory</w:t>
      </w:r>
      <w:proofErr w:type="spellEnd"/>
      <w:r w:rsidRPr="00E82756">
        <w:rPr>
          <w:rFonts w:eastAsia="Times New Roman" w:cs="Arial"/>
          <w:iCs/>
          <w:color w:val="000000"/>
          <w:sz w:val="24"/>
          <w:szCs w:val="24"/>
          <w:lang w:val="en-US" w:eastAsia="it-IT"/>
        </w:rPr>
        <w:t xml:space="preserve"> agents loaded microspheres for cell </w:t>
      </w:r>
      <w:proofErr w:type="spellStart"/>
      <w:r w:rsidRPr="00E82756">
        <w:rPr>
          <w:rFonts w:eastAsia="Times New Roman" w:cs="Arial"/>
          <w:iCs/>
          <w:color w:val="000000"/>
          <w:sz w:val="24"/>
          <w:szCs w:val="24"/>
          <w:lang w:val="en-US" w:eastAsia="it-IT"/>
        </w:rPr>
        <w:t>xeno</w:t>
      </w:r>
      <w:proofErr w:type="spellEnd"/>
      <w:r w:rsidRPr="00E82756">
        <w:rPr>
          <w:rFonts w:eastAsia="Times New Roman" w:cs="Arial"/>
          <w:iCs/>
          <w:color w:val="000000"/>
          <w:sz w:val="24"/>
          <w:szCs w:val="24"/>
          <w:lang w:val="en-US" w:eastAsia="it-IT"/>
        </w:rPr>
        <w:t xml:space="preserve">-transplantation in type I diabetes mellitus therapy. </w:t>
      </w:r>
    </w:p>
    <w:p w:rsidR="00FC62C6" w:rsidRPr="00E82756" w:rsidRDefault="00FC62C6" w:rsidP="00FC62C6">
      <w:pPr>
        <w:spacing w:after="0"/>
        <w:jc w:val="both"/>
        <w:rPr>
          <w:rFonts w:eastAsia="Times New Roman" w:cs="Arial"/>
          <w:iCs/>
          <w:color w:val="000000"/>
          <w:sz w:val="24"/>
          <w:szCs w:val="24"/>
          <w:lang w:val="en-US" w:eastAsia="it-IT"/>
        </w:rPr>
      </w:pPr>
      <w:r w:rsidRPr="00E82756">
        <w:rPr>
          <w:rFonts w:eastAsia="Times New Roman" w:cs="Arial"/>
          <w:iCs/>
          <w:color w:val="000000"/>
          <w:sz w:val="24"/>
          <w:szCs w:val="24"/>
          <w:lang w:val="en-US" w:eastAsia="it-IT"/>
        </w:rPr>
        <w:t>4. Use of inorganic matrices (</w:t>
      </w:r>
      <w:proofErr w:type="spellStart"/>
      <w:r w:rsidRPr="00E82756">
        <w:rPr>
          <w:rFonts w:eastAsia="Times New Roman" w:cs="Arial"/>
          <w:iCs/>
          <w:color w:val="000000"/>
          <w:sz w:val="24"/>
          <w:szCs w:val="24"/>
          <w:lang w:val="en-US" w:eastAsia="it-IT"/>
        </w:rPr>
        <w:t>hydrotalcites</w:t>
      </w:r>
      <w:proofErr w:type="spellEnd"/>
      <w:r w:rsidRPr="00E82756">
        <w:rPr>
          <w:rFonts w:eastAsia="Times New Roman" w:cs="Arial"/>
          <w:iCs/>
          <w:color w:val="000000"/>
          <w:sz w:val="24"/>
          <w:szCs w:val="24"/>
          <w:lang w:val="en-US" w:eastAsia="it-IT"/>
        </w:rPr>
        <w:t xml:space="preserve"> ; </w:t>
      </w:r>
      <w:proofErr w:type="spellStart"/>
      <w:r w:rsidRPr="00E82756">
        <w:rPr>
          <w:rFonts w:eastAsia="Times New Roman" w:cs="Arial"/>
          <w:iCs/>
          <w:color w:val="000000"/>
          <w:sz w:val="24"/>
          <w:szCs w:val="24"/>
          <w:lang w:val="en-US" w:eastAsia="it-IT"/>
        </w:rPr>
        <w:t>mesoporous</w:t>
      </w:r>
      <w:proofErr w:type="spellEnd"/>
      <w:r w:rsidRPr="00E82756">
        <w:rPr>
          <w:rFonts w:eastAsia="Times New Roman" w:cs="Arial"/>
          <w:iCs/>
          <w:color w:val="000000"/>
          <w:sz w:val="24"/>
          <w:szCs w:val="24"/>
          <w:lang w:val="en-US" w:eastAsia="it-IT"/>
        </w:rPr>
        <w:t xml:space="preserve"> silicates) in the pharmaceutical and cosmetic fields; </w:t>
      </w:r>
    </w:p>
    <w:p w:rsidR="00FC62C6" w:rsidRPr="00E82756" w:rsidRDefault="00FC62C6" w:rsidP="00FC62C6">
      <w:pPr>
        <w:spacing w:after="0"/>
        <w:jc w:val="both"/>
        <w:rPr>
          <w:rFonts w:eastAsia="Times New Roman" w:cs="Arial"/>
          <w:iCs/>
          <w:color w:val="000000"/>
          <w:sz w:val="24"/>
          <w:szCs w:val="24"/>
          <w:lang w:val="en-US" w:eastAsia="it-IT"/>
        </w:rPr>
      </w:pPr>
      <w:r w:rsidRPr="00E82756">
        <w:rPr>
          <w:rFonts w:eastAsia="Times New Roman" w:cs="Arial"/>
          <w:iCs/>
          <w:color w:val="000000"/>
          <w:sz w:val="24"/>
          <w:szCs w:val="24"/>
          <w:lang w:val="en-US" w:eastAsia="it-IT"/>
        </w:rPr>
        <w:lastRenderedPageBreak/>
        <w:t xml:space="preserve">5. Design and evaluation of new </w:t>
      </w:r>
      <w:proofErr w:type="spellStart"/>
      <w:r w:rsidRPr="00E82756">
        <w:rPr>
          <w:rFonts w:eastAsia="Times New Roman" w:cs="Arial"/>
          <w:iCs/>
          <w:color w:val="000000"/>
          <w:sz w:val="24"/>
          <w:szCs w:val="24"/>
          <w:lang w:val="en-US" w:eastAsia="it-IT"/>
        </w:rPr>
        <w:t>buccal</w:t>
      </w:r>
      <w:proofErr w:type="spellEnd"/>
      <w:r w:rsidRPr="00E82756">
        <w:rPr>
          <w:rFonts w:eastAsia="Times New Roman" w:cs="Arial"/>
          <w:iCs/>
          <w:color w:val="000000"/>
          <w:sz w:val="24"/>
          <w:szCs w:val="24"/>
          <w:lang w:val="en-US" w:eastAsia="it-IT"/>
        </w:rPr>
        <w:t xml:space="preserve"> and vaginal </w:t>
      </w:r>
      <w:proofErr w:type="spellStart"/>
      <w:r w:rsidRPr="00E82756">
        <w:rPr>
          <w:rFonts w:eastAsia="Times New Roman" w:cs="Arial"/>
          <w:iCs/>
          <w:color w:val="000000"/>
          <w:sz w:val="24"/>
          <w:szCs w:val="24"/>
          <w:lang w:val="en-US" w:eastAsia="it-IT"/>
        </w:rPr>
        <w:t>mucoadhesive</w:t>
      </w:r>
      <w:proofErr w:type="spellEnd"/>
      <w:r w:rsidRPr="00E82756">
        <w:rPr>
          <w:rFonts w:eastAsia="Times New Roman" w:cs="Arial"/>
          <w:iCs/>
          <w:color w:val="000000"/>
          <w:sz w:val="24"/>
          <w:szCs w:val="24"/>
          <w:lang w:val="en-US" w:eastAsia="it-IT"/>
        </w:rPr>
        <w:t xml:space="preserve"> drug delivery systems. </w:t>
      </w:r>
    </w:p>
    <w:p w:rsidR="00FC62C6" w:rsidRPr="00E82756" w:rsidRDefault="00FC62C6" w:rsidP="00FC62C6">
      <w:pPr>
        <w:spacing w:after="0"/>
        <w:jc w:val="both"/>
        <w:rPr>
          <w:rFonts w:eastAsia="Times New Roman" w:cs="Arial"/>
          <w:iCs/>
          <w:color w:val="000000"/>
          <w:sz w:val="24"/>
          <w:szCs w:val="24"/>
          <w:lang w:val="en-US" w:eastAsia="it-IT"/>
        </w:rPr>
      </w:pPr>
    </w:p>
    <w:p w:rsidR="000B7C2F" w:rsidRPr="00FC62C6" w:rsidRDefault="000B7C2F" w:rsidP="00FC62C6">
      <w:pPr>
        <w:rPr>
          <w:lang w:val="en-US"/>
        </w:rPr>
      </w:pPr>
    </w:p>
    <w:sectPr w:rsidR="000B7C2F" w:rsidRPr="00FC62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839"/>
    <w:rsid w:val="000B7C2F"/>
    <w:rsid w:val="00544EA2"/>
    <w:rsid w:val="008C7839"/>
    <w:rsid w:val="00FC6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7839"/>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7839"/>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758</Words>
  <Characters>4322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Ricci</dc:creator>
  <cp:lastModifiedBy>Ricci</cp:lastModifiedBy>
  <cp:revision>3</cp:revision>
  <dcterms:created xsi:type="dcterms:W3CDTF">2011-07-20T11:01:00Z</dcterms:created>
  <dcterms:modified xsi:type="dcterms:W3CDTF">2011-07-20T12:54:00Z</dcterms:modified>
</cp:coreProperties>
</file>