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BF8" w:rsidRDefault="00730BF8">
      <w:pPr>
        <w:pStyle w:val="Informazionicontatto"/>
        <w:spacing w:line="360" w:lineRule="auto"/>
        <w:jc w:val="center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Curriculum vitae</w:t>
      </w:r>
    </w:p>
    <w:p w:rsidR="00730BF8" w:rsidRDefault="00730BF8">
      <w:pPr>
        <w:pStyle w:val="Nome"/>
        <w:spacing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>di Maurizio Oliviero</w:t>
      </w:r>
    </w:p>
    <w:p w:rsidR="00730BF8" w:rsidRDefault="00730BF8">
      <w:pPr>
        <w:spacing w:line="36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nato a Lioni (AV) il 14 luglio 1967</w:t>
      </w:r>
    </w:p>
    <w:p w:rsidR="00730BF8" w:rsidRDefault="00730BF8">
      <w:pPr>
        <w:pStyle w:val="Titolosezione"/>
        <w:spacing w:line="36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Studi</w:t>
      </w:r>
    </w:p>
    <w:p w:rsidR="00730BF8" w:rsidRDefault="00730BF8">
      <w:pPr>
        <w:pStyle w:val="Obiettivo"/>
        <w:spacing w:line="36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Maturità classica presso il Liceo-Ginnasio F.De Sanctis di Sant’Angelo dei Lombardi (60/60)</w:t>
      </w:r>
    </w:p>
    <w:p w:rsidR="00730BF8" w:rsidRDefault="00730BF8">
      <w:pPr>
        <w:pStyle w:val="Obiettivo"/>
        <w:spacing w:line="36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Laurea in Giurisprudenza presso l’Università degli Studi di Perugia (110/110 e lode)</w:t>
      </w:r>
    </w:p>
    <w:p w:rsidR="00730BF8" w:rsidRDefault="00730BF8">
      <w:pPr>
        <w:pStyle w:val="Obiettivo"/>
        <w:spacing w:line="36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Dottorato di Ricerca in Diritto Pubblico</w:t>
      </w:r>
    </w:p>
    <w:p w:rsidR="00730BF8" w:rsidRDefault="00730BF8">
      <w:pPr>
        <w:pStyle w:val="Obiettivo"/>
        <w:spacing w:line="36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Corso di specializzazione in Diritto parlamentare e Tecnica della legislazione presso l'Università degli Studi di Firenze e la Camera dei Deputati</w:t>
      </w:r>
    </w:p>
    <w:p w:rsidR="00730BF8" w:rsidRDefault="00730BF8">
      <w:pPr>
        <w:pStyle w:val="Obiettivo"/>
        <w:spacing w:line="36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Corso in Diritto Comune Vigente presso l'Istituto Giuridico della Repubblica di San Marino</w:t>
      </w:r>
    </w:p>
    <w:p w:rsidR="00730BF8" w:rsidRDefault="00730BF8">
      <w:pPr>
        <w:pStyle w:val="Obiettivo"/>
        <w:spacing w:line="36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Erasmus P.I.C. presso l’Università di Alicante</w:t>
      </w:r>
    </w:p>
    <w:p w:rsidR="00730BF8" w:rsidRDefault="00730BF8">
      <w:pPr>
        <w:pStyle w:val="Obiettivo"/>
        <w:spacing w:line="36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A.L.P. Program presso la Columbia University di New York</w:t>
      </w:r>
    </w:p>
    <w:p w:rsidR="00730BF8" w:rsidRDefault="00730BF8">
      <w:pPr>
        <w:pStyle w:val="Obiettivo"/>
        <w:spacing w:line="360" w:lineRule="auto"/>
        <w:jc w:val="both"/>
        <w:rPr>
          <w:rFonts w:ascii="Cambria" w:hAnsi="Cambria" w:cs="Cambria"/>
          <w:sz w:val="20"/>
          <w:szCs w:val="20"/>
        </w:rPr>
      </w:pPr>
    </w:p>
    <w:p w:rsidR="00730BF8" w:rsidRDefault="00730BF8">
      <w:pPr>
        <w:pStyle w:val="Titolosezione"/>
        <w:spacing w:line="36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Posizione accademica</w:t>
      </w:r>
    </w:p>
    <w:p w:rsidR="00730BF8" w:rsidRDefault="00730BF8">
      <w:pPr>
        <w:pStyle w:val="Dataeluogo"/>
        <w:spacing w:line="36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Professore ordinario di Diritto Pubblico comparato presso l’Università degli Studi di Perugia </w:t>
      </w:r>
    </w:p>
    <w:p w:rsidR="00730BF8" w:rsidRDefault="00730BF8">
      <w:pPr>
        <w:pStyle w:val="Dataeluogo"/>
        <w:spacing w:line="360" w:lineRule="auto"/>
        <w:jc w:val="both"/>
        <w:rPr>
          <w:rFonts w:ascii="Cambria" w:hAnsi="Cambria" w:cs="Cambria"/>
          <w:sz w:val="20"/>
          <w:szCs w:val="20"/>
        </w:rPr>
      </w:pPr>
    </w:p>
    <w:p w:rsidR="00730BF8" w:rsidRDefault="00730BF8">
      <w:pPr>
        <w:pStyle w:val="Titolosezione"/>
        <w:spacing w:line="36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Attività didattica</w:t>
      </w:r>
    </w:p>
    <w:p w:rsidR="00730BF8" w:rsidRDefault="00730BF8">
      <w:pPr>
        <w:pStyle w:val="Dataeluogo"/>
        <w:spacing w:line="36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Dalla presa di servizio come professore associato ad oggi ha tenuto nelle Facoltà di Scienze Politiche e Giurisprudenza dell’Università degli Studi di Perugia gli insegnamenti di Diritto Costituzionale italiano e comparato, Diritto costituzionale, Diritto Pubblico comparato e transnazionale, Diritto Pubblico delle migrazioni. Dal 2007 ha attivato il primo Corso in Italia di Diritto Pubblico dei Paesi islamici. Inoltre è stato affidatario del Corso di Diritto musulmano e dei Paesi arabi presso l’Università degli Studi di Macerata e dal 2012 è affidatario del Corso di Costituzioni e Diritti Fondamentali nei sistemi arabo-islamici presso la Seconda Università degli Studi di Napoli</w:t>
      </w:r>
    </w:p>
    <w:p w:rsidR="00730BF8" w:rsidRDefault="00730BF8">
      <w:pPr>
        <w:pStyle w:val="Dataeluogo"/>
        <w:spacing w:line="36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Ha tenuto lezioni e seminari in molte Università italiane e straniere, Scuole superiori, Scuole di specializzazione, master universitari, e corsi di formazione e aggiornamento per magistrati, avvocati, operatori del diritto, dirigenti e pubblici funzionari con particolare riguardo al diritto pubblico comparato ed al Diritto islamico.</w:t>
      </w:r>
    </w:p>
    <w:p w:rsidR="00730BF8" w:rsidRDefault="00730BF8">
      <w:pPr>
        <w:pStyle w:val="Dataeluogo"/>
        <w:spacing w:line="36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Svolge attività di docenza in tema di Institutional Building in Medio Oriente presso il Centro Alti Studi per la Difesa del Ministero della Difesa e l’Istituto Superiore di Stato Maggiore Interforze</w:t>
      </w:r>
    </w:p>
    <w:p w:rsidR="00730BF8" w:rsidRDefault="00730BF8">
      <w:pPr>
        <w:pStyle w:val="Dataeluogo"/>
        <w:spacing w:line="36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Ha seguito numerose tesi di laurea e ha svolto attività di tutoraggio di numerosi dottorandi sia in Italia che all’estero.</w:t>
      </w:r>
    </w:p>
    <w:p w:rsidR="00730BF8" w:rsidRDefault="00730BF8">
      <w:pPr>
        <w:pStyle w:val="Dataeluogo"/>
        <w:spacing w:line="360" w:lineRule="auto"/>
        <w:jc w:val="both"/>
        <w:rPr>
          <w:rFonts w:ascii="Cambria" w:hAnsi="Cambria" w:cs="Cambria"/>
          <w:sz w:val="20"/>
          <w:szCs w:val="20"/>
        </w:rPr>
      </w:pPr>
    </w:p>
    <w:p w:rsidR="00730BF8" w:rsidRDefault="00730BF8">
      <w:pPr>
        <w:pStyle w:val="Dataeluogo"/>
        <w:spacing w:line="360" w:lineRule="auto"/>
        <w:jc w:val="both"/>
        <w:rPr>
          <w:rFonts w:ascii="Cambria" w:hAnsi="Cambria" w:cs="Cambria"/>
          <w:sz w:val="20"/>
          <w:szCs w:val="20"/>
        </w:rPr>
      </w:pPr>
    </w:p>
    <w:p w:rsidR="00730BF8" w:rsidRDefault="00730BF8">
      <w:pPr>
        <w:pStyle w:val="Titolosezione"/>
        <w:spacing w:line="36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Attività scientifica</w:t>
      </w:r>
    </w:p>
    <w:p w:rsidR="00730BF8" w:rsidRDefault="00730BF8">
      <w:pPr>
        <w:tabs>
          <w:tab w:val="left" w:pos="3600"/>
          <w:tab w:val="right" w:pos="8640"/>
        </w:tabs>
        <w:spacing w:before="160" w:line="360" w:lineRule="auto"/>
        <w:jc w:val="both"/>
        <w:rPr>
          <w:rFonts w:ascii="Cambria" w:hAnsi="Cambria" w:cs="Cambria"/>
          <w:sz w:val="20"/>
          <w:szCs w:val="20"/>
        </w:rPr>
      </w:pPr>
    </w:p>
    <w:p w:rsidR="00730BF8" w:rsidRDefault="00730BF8">
      <w:pPr>
        <w:tabs>
          <w:tab w:val="left" w:pos="3600"/>
          <w:tab w:val="right" w:pos="8640"/>
        </w:tabs>
        <w:spacing w:before="160" w:line="36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I suoi principali temi di studio e ricerca sono nell’area del Diritto Pubblico comparato, Diritto Costituzionale italiano e straniero, Diritto dei Paesi islamici, Diritto transnazionale.</w:t>
      </w:r>
    </w:p>
    <w:p w:rsidR="00730BF8" w:rsidRDefault="00730BF8">
      <w:pPr>
        <w:tabs>
          <w:tab w:val="left" w:pos="3600"/>
          <w:tab w:val="right" w:pos="8640"/>
        </w:tabs>
        <w:spacing w:before="160" w:line="36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E’ autore e curatore di numerose pubblicazioni, in Italia ed all’estero: </w:t>
      </w:r>
    </w:p>
    <w:p w:rsidR="00730BF8" w:rsidRDefault="00730BF8">
      <w:pPr>
        <w:tabs>
          <w:tab w:val="left" w:pos="3600"/>
          <w:tab w:val="right" w:pos="8640"/>
        </w:tabs>
        <w:spacing w:before="160" w:line="36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nell’area del </w:t>
      </w:r>
      <w:r>
        <w:rPr>
          <w:rFonts w:ascii="Cambria" w:hAnsi="Cambria" w:cs="Cambria"/>
          <w:b/>
          <w:bCs/>
          <w:sz w:val="20"/>
          <w:szCs w:val="20"/>
        </w:rPr>
        <w:t>Diritto costituzionale italiano</w:t>
      </w:r>
      <w:r>
        <w:rPr>
          <w:rFonts w:ascii="Cambria" w:hAnsi="Cambria" w:cs="Cambria"/>
          <w:sz w:val="20"/>
          <w:szCs w:val="20"/>
        </w:rPr>
        <w:t xml:space="preserve"> (tra cui si segnalano, </w:t>
      </w:r>
      <w:r>
        <w:rPr>
          <w:rFonts w:ascii="Cambria" w:hAnsi="Cambria" w:cs="Cambria"/>
          <w:i/>
          <w:iCs/>
          <w:sz w:val="20"/>
          <w:szCs w:val="20"/>
        </w:rPr>
        <w:t>Disciplina del sistema radiotelevisivo pubblico e privato</w:t>
      </w:r>
      <w:r>
        <w:rPr>
          <w:rFonts w:ascii="Cambria" w:hAnsi="Cambria" w:cs="Cambria"/>
          <w:sz w:val="20"/>
          <w:szCs w:val="20"/>
        </w:rPr>
        <w:t xml:space="preserve">, Nove Grafie, Roma, 1993; </w:t>
      </w:r>
      <w:r>
        <w:rPr>
          <w:rFonts w:ascii="Cambria" w:hAnsi="Cambria" w:cs="Cambria"/>
          <w:i/>
          <w:iCs/>
          <w:sz w:val="20"/>
          <w:szCs w:val="20"/>
        </w:rPr>
        <w:t>In tema di insindacabilità dei membri del Parlamento</w:t>
      </w:r>
      <w:r>
        <w:rPr>
          <w:rFonts w:ascii="Cambria" w:hAnsi="Cambria" w:cs="Cambria"/>
          <w:sz w:val="20"/>
          <w:szCs w:val="20"/>
        </w:rPr>
        <w:t xml:space="preserve">, in Giur. Cost., I, 1994, 436 ss.; </w:t>
      </w:r>
      <w:r>
        <w:rPr>
          <w:rFonts w:ascii="Cambria" w:hAnsi="Cambria" w:cs="Cambria"/>
          <w:i/>
          <w:iCs/>
          <w:sz w:val="20"/>
          <w:szCs w:val="20"/>
        </w:rPr>
        <w:t>Les Regimes Electoraux Des Pays De l’Union Europeenne (l’Italie)</w:t>
      </w:r>
      <w:r>
        <w:rPr>
          <w:rFonts w:ascii="Cambria" w:hAnsi="Cambria" w:cs="Cambria"/>
          <w:sz w:val="20"/>
          <w:szCs w:val="20"/>
        </w:rPr>
        <w:t xml:space="preserve">, Esperia Ltd, London, 1997; </w:t>
      </w:r>
      <w:r>
        <w:rPr>
          <w:rFonts w:ascii="Cambria" w:hAnsi="Cambria" w:cs="Cambria"/>
          <w:i/>
          <w:iCs/>
          <w:sz w:val="20"/>
          <w:szCs w:val="20"/>
        </w:rPr>
        <w:t>Il dibattito sulla forma di governo italiana: dalla Costituente al progetto di riforma elaborato  dalla Commissione Bicamerale per le riforme costituzionali del 1997</w:t>
      </w:r>
      <w:r>
        <w:rPr>
          <w:rFonts w:ascii="Cambria" w:hAnsi="Cambria" w:cs="Cambria"/>
          <w:sz w:val="20"/>
          <w:szCs w:val="20"/>
        </w:rPr>
        <w:t xml:space="preserve">, Perugia, 1999; </w:t>
      </w:r>
      <w:r>
        <w:rPr>
          <w:rFonts w:ascii="Cambria" w:hAnsi="Cambria" w:cs="Cambria"/>
          <w:i/>
          <w:iCs/>
          <w:sz w:val="20"/>
          <w:szCs w:val="20"/>
        </w:rPr>
        <w:t>The Bicamerel System in Parliamentary Italian Tradition (1848-1948)</w:t>
      </w:r>
      <w:r>
        <w:rPr>
          <w:rFonts w:ascii="Cambria" w:hAnsi="Cambria" w:cs="Cambria"/>
          <w:sz w:val="20"/>
          <w:szCs w:val="20"/>
        </w:rPr>
        <w:t xml:space="preserve">, in Atti della Conferenza mondiale di Atene, 2000; </w:t>
      </w:r>
      <w:r>
        <w:rPr>
          <w:rFonts w:ascii="Cambria" w:hAnsi="Cambria" w:cs="Cambria"/>
          <w:i/>
          <w:iCs/>
          <w:sz w:val="20"/>
          <w:szCs w:val="20"/>
        </w:rPr>
        <w:t>La configurazione giuridica delle immunità parlamentari</w:t>
      </w:r>
      <w:r>
        <w:rPr>
          <w:rFonts w:ascii="Cambria" w:hAnsi="Cambria" w:cs="Cambria"/>
          <w:sz w:val="20"/>
          <w:szCs w:val="20"/>
        </w:rPr>
        <w:t xml:space="preserve">, in N. PICARDI, B. SASSANI, F. TREGGIARI (a cura di), Diritto e processo. Studi in memoria di Alessandro Giuliani, Napoli, 2001; </w:t>
      </w:r>
      <w:r>
        <w:rPr>
          <w:rFonts w:ascii="Cambria" w:hAnsi="Cambria" w:cs="Cambria"/>
          <w:i/>
          <w:iCs/>
          <w:sz w:val="20"/>
          <w:szCs w:val="20"/>
        </w:rPr>
        <w:t>Scelgo la Costituzione</w:t>
      </w:r>
      <w:r>
        <w:rPr>
          <w:rFonts w:ascii="Cambria" w:hAnsi="Cambria" w:cs="Cambria"/>
          <w:sz w:val="20"/>
          <w:szCs w:val="20"/>
        </w:rPr>
        <w:t xml:space="preserve">, Roma, 2006); </w:t>
      </w:r>
    </w:p>
    <w:p w:rsidR="00730BF8" w:rsidRDefault="00730BF8">
      <w:pPr>
        <w:tabs>
          <w:tab w:val="left" w:pos="3600"/>
          <w:tab w:val="right" w:pos="8640"/>
        </w:tabs>
        <w:spacing w:before="160" w:line="36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nell’area del </w:t>
      </w:r>
      <w:r>
        <w:rPr>
          <w:rFonts w:ascii="Cambria" w:hAnsi="Cambria" w:cs="Cambria"/>
          <w:b/>
          <w:bCs/>
          <w:sz w:val="20"/>
          <w:szCs w:val="20"/>
        </w:rPr>
        <w:t>Diritto Pubblico comparato</w:t>
      </w:r>
      <w:r>
        <w:rPr>
          <w:rFonts w:ascii="Cambria" w:hAnsi="Cambria" w:cs="Cambria"/>
          <w:sz w:val="20"/>
          <w:szCs w:val="20"/>
        </w:rPr>
        <w:t xml:space="preserve"> (tra cui si segnalano, </w:t>
      </w:r>
      <w:r>
        <w:rPr>
          <w:rFonts w:ascii="Cambria" w:hAnsi="Cambria" w:cs="Cambria"/>
          <w:i/>
          <w:iCs/>
          <w:sz w:val="20"/>
          <w:szCs w:val="20"/>
        </w:rPr>
        <w:t>I sistemi elettorali in Francia, Germania, Gran Bretagna, Spagna e Israele</w:t>
      </w:r>
      <w:r>
        <w:rPr>
          <w:rFonts w:ascii="Cambria" w:hAnsi="Cambria" w:cs="Cambria"/>
          <w:sz w:val="20"/>
          <w:szCs w:val="20"/>
        </w:rPr>
        <w:t xml:space="preserve">, in Pol.Is., 2, 1992; </w:t>
      </w:r>
      <w:r>
        <w:rPr>
          <w:rFonts w:ascii="Cambria" w:hAnsi="Cambria" w:cs="Cambria"/>
          <w:i/>
          <w:iCs/>
          <w:sz w:val="20"/>
          <w:szCs w:val="20"/>
        </w:rPr>
        <w:t>L’evoluzione storica delle immunità parlamentari nei sistemi di democrazia rappresentativa</w:t>
      </w:r>
      <w:r>
        <w:rPr>
          <w:rFonts w:ascii="Cambria" w:hAnsi="Cambria" w:cs="Cambria"/>
          <w:sz w:val="20"/>
          <w:szCs w:val="20"/>
        </w:rPr>
        <w:t xml:space="preserve">, in Novos Estudos Jurìdicos, n. 8, UNIVALI, Brasile, 1999, 49 ss.;  </w:t>
      </w:r>
      <w:r>
        <w:rPr>
          <w:rFonts w:ascii="Cambria" w:hAnsi="Cambria" w:cs="Cambria"/>
          <w:i/>
          <w:iCs/>
          <w:sz w:val="20"/>
          <w:szCs w:val="20"/>
        </w:rPr>
        <w:t>L’impeachment nella Costituzione degli Stati Uniti d’America</w:t>
      </w:r>
      <w:r>
        <w:rPr>
          <w:rFonts w:ascii="Cambria" w:hAnsi="Cambria" w:cs="Cambria"/>
          <w:sz w:val="20"/>
          <w:szCs w:val="20"/>
        </w:rPr>
        <w:t xml:space="preserve">, in </w:t>
      </w:r>
      <w:r>
        <w:rPr>
          <w:rFonts w:ascii="Cambria" w:hAnsi="Cambria" w:cs="Cambria"/>
          <w:i/>
          <w:iCs/>
          <w:sz w:val="20"/>
          <w:szCs w:val="20"/>
        </w:rPr>
        <w:t>Rivista di diritto pubblico comparato ed europeo</w:t>
      </w:r>
      <w:r>
        <w:rPr>
          <w:rFonts w:ascii="Cambria" w:hAnsi="Cambria" w:cs="Cambria"/>
          <w:sz w:val="20"/>
          <w:szCs w:val="20"/>
        </w:rPr>
        <w:t xml:space="preserve">, n.3, 1999; </w:t>
      </w:r>
      <w:r>
        <w:rPr>
          <w:rFonts w:ascii="Cambria" w:hAnsi="Cambria" w:cs="Cambria"/>
          <w:i/>
          <w:iCs/>
          <w:sz w:val="20"/>
          <w:szCs w:val="20"/>
        </w:rPr>
        <w:t>La configurazione giuridica delle immunità parlamentari</w:t>
      </w:r>
      <w:r>
        <w:rPr>
          <w:rFonts w:ascii="Cambria" w:hAnsi="Cambria" w:cs="Cambria"/>
          <w:sz w:val="20"/>
          <w:szCs w:val="20"/>
        </w:rPr>
        <w:t xml:space="preserve">, in N. PICARDI, B. SASSANI, F. TREGGIARI (a cura di), </w:t>
      </w:r>
      <w:r>
        <w:rPr>
          <w:rFonts w:ascii="Cambria" w:hAnsi="Cambria" w:cs="Cambria"/>
          <w:i/>
          <w:iCs/>
          <w:sz w:val="20"/>
          <w:szCs w:val="20"/>
        </w:rPr>
        <w:t>Diritto e processo. Studi in memoria di Alessandro Giuliani</w:t>
      </w:r>
      <w:r>
        <w:rPr>
          <w:rFonts w:ascii="Cambria" w:hAnsi="Cambria" w:cs="Cambria"/>
          <w:sz w:val="20"/>
          <w:szCs w:val="20"/>
        </w:rPr>
        <w:t xml:space="preserve">, Napoli, 2001;  </w:t>
      </w:r>
      <w:r>
        <w:rPr>
          <w:rFonts w:ascii="Cambria" w:hAnsi="Cambria" w:cs="Cambria"/>
          <w:i/>
          <w:iCs/>
          <w:sz w:val="20"/>
          <w:szCs w:val="20"/>
        </w:rPr>
        <w:t>L’impeachment</w:t>
      </w:r>
      <w:r>
        <w:rPr>
          <w:rFonts w:ascii="Cambria" w:hAnsi="Cambria" w:cs="Cambria"/>
          <w:sz w:val="20"/>
          <w:szCs w:val="20"/>
        </w:rPr>
        <w:t xml:space="preserve">, Torino, 2001; </w:t>
      </w:r>
      <w:r>
        <w:rPr>
          <w:rFonts w:ascii="Cambria" w:hAnsi="Cambria" w:cs="Cambria"/>
          <w:i/>
          <w:iCs/>
          <w:sz w:val="20"/>
          <w:szCs w:val="20"/>
        </w:rPr>
        <w:t>Sistemi elettorali e democrazie</w:t>
      </w:r>
      <w:r>
        <w:rPr>
          <w:rFonts w:ascii="Cambria" w:hAnsi="Cambria" w:cs="Cambria"/>
          <w:sz w:val="20"/>
          <w:szCs w:val="20"/>
        </w:rPr>
        <w:t>” (a cura di MAURIZIO OLIVIERO e MAURO VOLPI, ed in particolare il Capitolo I dal titolo “</w:t>
      </w:r>
      <w:r>
        <w:rPr>
          <w:rFonts w:ascii="Cambria" w:hAnsi="Cambria" w:cs="Cambria"/>
          <w:i/>
          <w:iCs/>
          <w:sz w:val="20"/>
          <w:szCs w:val="20"/>
        </w:rPr>
        <w:t>I sistemi elettorali</w:t>
      </w:r>
      <w:r>
        <w:rPr>
          <w:rFonts w:ascii="Cambria" w:hAnsi="Cambria" w:cs="Cambria"/>
          <w:sz w:val="20"/>
          <w:szCs w:val="20"/>
        </w:rPr>
        <w:t xml:space="preserve">”), Torino, 2007; </w:t>
      </w:r>
      <w:r>
        <w:rPr>
          <w:rFonts w:ascii="Cambria" w:hAnsi="Cambria" w:cs="Cambria"/>
          <w:i/>
          <w:iCs/>
          <w:sz w:val="20"/>
          <w:szCs w:val="20"/>
        </w:rPr>
        <w:t>Lo Stato teocratico</w:t>
      </w:r>
      <w:r>
        <w:rPr>
          <w:rFonts w:ascii="Cambria" w:hAnsi="Cambria" w:cs="Cambria"/>
          <w:sz w:val="20"/>
          <w:szCs w:val="20"/>
        </w:rPr>
        <w:t xml:space="preserve">, voce in </w:t>
      </w:r>
      <w:r>
        <w:rPr>
          <w:rFonts w:ascii="Cambria" w:hAnsi="Cambria" w:cs="Cambria"/>
          <w:i/>
          <w:iCs/>
          <w:sz w:val="20"/>
          <w:szCs w:val="20"/>
        </w:rPr>
        <w:t>Glossario di Diritto Pubblico comparato</w:t>
      </w:r>
      <w:r>
        <w:rPr>
          <w:rFonts w:ascii="Cambria" w:hAnsi="Cambria" w:cs="Cambria"/>
          <w:sz w:val="20"/>
          <w:szCs w:val="20"/>
        </w:rPr>
        <w:t>, Roma, 2009);</w:t>
      </w:r>
    </w:p>
    <w:p w:rsidR="00730BF8" w:rsidRDefault="00730BF8">
      <w:pPr>
        <w:tabs>
          <w:tab w:val="left" w:pos="3600"/>
          <w:tab w:val="right" w:pos="8640"/>
        </w:tabs>
        <w:spacing w:before="160" w:line="36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nell’area del </w:t>
      </w:r>
      <w:r>
        <w:rPr>
          <w:rFonts w:ascii="Cambria" w:hAnsi="Cambria" w:cs="Cambria"/>
          <w:b/>
          <w:bCs/>
          <w:sz w:val="20"/>
          <w:szCs w:val="20"/>
        </w:rPr>
        <w:t>Diritto dei Paesi islamici</w:t>
      </w:r>
      <w:r>
        <w:rPr>
          <w:rFonts w:ascii="Cambria" w:hAnsi="Cambria" w:cs="Cambria"/>
          <w:sz w:val="20"/>
          <w:szCs w:val="20"/>
        </w:rPr>
        <w:t xml:space="preserve"> (tra cui si segnalano,  </w:t>
      </w:r>
      <w:r>
        <w:rPr>
          <w:rFonts w:ascii="Cambria" w:hAnsi="Cambria" w:cs="Cambria"/>
          <w:i/>
          <w:iCs/>
          <w:sz w:val="20"/>
          <w:szCs w:val="20"/>
        </w:rPr>
        <w:t>Osservazioni sul sistema costituzionale algerino</w:t>
      </w:r>
      <w:r>
        <w:rPr>
          <w:rFonts w:ascii="Cambria" w:hAnsi="Cambria" w:cs="Cambria"/>
          <w:sz w:val="20"/>
          <w:szCs w:val="20"/>
        </w:rPr>
        <w:t>, in Oriente Moderno, 1-6, Roma, 1992</w:t>
      </w:r>
      <w:r>
        <w:rPr>
          <w:rFonts w:ascii="Cambria" w:hAnsi="Cambria" w:cs="Cambria"/>
          <w:i/>
          <w:iCs/>
          <w:sz w:val="20"/>
          <w:szCs w:val="20"/>
        </w:rPr>
        <w:t>; Brevi note sul sistema costituzionale marocchino</w:t>
      </w:r>
      <w:r>
        <w:rPr>
          <w:rFonts w:ascii="Cambria" w:hAnsi="Cambria" w:cs="Cambria"/>
          <w:sz w:val="20"/>
          <w:szCs w:val="20"/>
        </w:rPr>
        <w:t xml:space="preserve">, in Boll. Inf. Parl. e Cost., I, 1995, 231 ss.; </w:t>
      </w:r>
      <w:r>
        <w:rPr>
          <w:rFonts w:ascii="Cambria" w:hAnsi="Cambria" w:cs="Cambria"/>
          <w:i/>
          <w:iCs/>
          <w:sz w:val="20"/>
          <w:szCs w:val="20"/>
        </w:rPr>
        <w:t>La recezione del modello semipresidenziale nei Paesi arabi</w:t>
      </w:r>
      <w:r>
        <w:rPr>
          <w:rFonts w:ascii="Cambria" w:hAnsi="Cambria" w:cs="Cambria"/>
          <w:sz w:val="20"/>
          <w:szCs w:val="20"/>
        </w:rPr>
        <w:t xml:space="preserve">, in </w:t>
      </w:r>
      <w:r>
        <w:rPr>
          <w:rFonts w:ascii="Cambria" w:hAnsi="Cambria" w:cs="Cambria"/>
          <w:i/>
          <w:iCs/>
          <w:sz w:val="20"/>
          <w:szCs w:val="20"/>
        </w:rPr>
        <w:t>I Semipresidenzialismi</w:t>
      </w:r>
      <w:r>
        <w:rPr>
          <w:rFonts w:ascii="Cambria" w:hAnsi="Cambria" w:cs="Cambria"/>
          <w:sz w:val="20"/>
          <w:szCs w:val="20"/>
        </w:rPr>
        <w:t xml:space="preserve">, Padova, 1997; </w:t>
      </w:r>
      <w:r>
        <w:rPr>
          <w:rFonts w:ascii="Cambria" w:hAnsi="Cambria" w:cs="Cambria"/>
          <w:i/>
          <w:iCs/>
          <w:sz w:val="20"/>
          <w:szCs w:val="20"/>
        </w:rPr>
        <w:t>Islàm e democrazia</w:t>
      </w:r>
      <w:r>
        <w:rPr>
          <w:rFonts w:ascii="Cambria" w:hAnsi="Cambria" w:cs="Cambria"/>
          <w:sz w:val="20"/>
          <w:szCs w:val="20"/>
        </w:rPr>
        <w:t xml:space="preserve">, in </w:t>
      </w:r>
      <w:r>
        <w:rPr>
          <w:rFonts w:ascii="Cambria" w:hAnsi="Cambria" w:cs="Cambria"/>
          <w:i/>
          <w:iCs/>
          <w:sz w:val="20"/>
          <w:szCs w:val="20"/>
        </w:rPr>
        <w:t>Studi in onore di S. Galeotti</w:t>
      </w:r>
      <w:r>
        <w:rPr>
          <w:rFonts w:ascii="Cambria" w:hAnsi="Cambria" w:cs="Cambria"/>
          <w:sz w:val="20"/>
          <w:szCs w:val="20"/>
        </w:rPr>
        <w:t>, Roma, 1998</w:t>
      </w:r>
      <w:r>
        <w:rPr>
          <w:rFonts w:ascii="Cambria" w:hAnsi="Cambria" w:cs="Cambria"/>
          <w:i/>
          <w:iCs/>
          <w:sz w:val="20"/>
          <w:szCs w:val="20"/>
        </w:rPr>
        <w:t>; Il costituzionalismo dei Paesi arabi</w:t>
      </w:r>
      <w:r>
        <w:rPr>
          <w:rFonts w:ascii="Cambria" w:hAnsi="Cambria" w:cs="Cambria"/>
          <w:sz w:val="20"/>
          <w:szCs w:val="20"/>
        </w:rPr>
        <w:t xml:space="preserve">, Milano, 2003; </w:t>
      </w:r>
      <w:r>
        <w:rPr>
          <w:rFonts w:ascii="Cambria" w:hAnsi="Cambria" w:cs="Cambria"/>
          <w:i/>
          <w:iCs/>
          <w:sz w:val="20"/>
          <w:szCs w:val="20"/>
        </w:rPr>
        <w:t>Islam e democrazia</w:t>
      </w:r>
      <w:r>
        <w:rPr>
          <w:rFonts w:ascii="Cambria" w:hAnsi="Cambria" w:cs="Cambria"/>
          <w:sz w:val="20"/>
          <w:szCs w:val="20"/>
        </w:rPr>
        <w:t xml:space="preserve">, in </w:t>
      </w:r>
      <w:r>
        <w:rPr>
          <w:rFonts w:ascii="Cambria" w:hAnsi="Cambria" w:cs="Cambria"/>
          <w:i/>
          <w:iCs/>
          <w:sz w:val="20"/>
          <w:szCs w:val="20"/>
        </w:rPr>
        <w:t>Democrazie Imperfette</w:t>
      </w:r>
      <w:r>
        <w:rPr>
          <w:rFonts w:ascii="Cambria" w:hAnsi="Cambria" w:cs="Cambria"/>
          <w:sz w:val="20"/>
          <w:szCs w:val="20"/>
        </w:rPr>
        <w:t xml:space="preserve">, a cura di ALFONSO DI GIOVINE E STEFANO SICARDI, Torino, 2005; </w:t>
      </w:r>
      <w:r>
        <w:rPr>
          <w:rFonts w:ascii="Cambria" w:hAnsi="Cambria" w:cs="Cambria"/>
          <w:i/>
          <w:iCs/>
          <w:sz w:val="20"/>
          <w:szCs w:val="20"/>
        </w:rPr>
        <w:t>La nuova Costituzione dell’Afghanistan</w:t>
      </w:r>
      <w:r>
        <w:rPr>
          <w:rFonts w:ascii="Cambria" w:hAnsi="Cambria" w:cs="Cambria"/>
          <w:sz w:val="20"/>
          <w:szCs w:val="20"/>
        </w:rPr>
        <w:t xml:space="preserve">, in Quaderni Costituzionali, 2, 2005; </w:t>
      </w:r>
      <w:r>
        <w:rPr>
          <w:rFonts w:ascii="Cambria" w:hAnsi="Cambria" w:cs="Cambria"/>
          <w:i/>
          <w:iCs/>
          <w:sz w:val="20"/>
          <w:szCs w:val="20"/>
        </w:rPr>
        <w:t>Ruolo e funzioni degli organi di giustizia costituzionale nei Paesi del Maghreb</w:t>
      </w:r>
      <w:r>
        <w:rPr>
          <w:rFonts w:ascii="Cambria" w:hAnsi="Cambria" w:cs="Cambria"/>
          <w:sz w:val="20"/>
          <w:szCs w:val="20"/>
        </w:rPr>
        <w:t xml:space="preserve">, in </w:t>
      </w:r>
      <w:r>
        <w:rPr>
          <w:rFonts w:ascii="Cambria" w:hAnsi="Cambria" w:cs="Cambria"/>
          <w:i/>
          <w:iCs/>
          <w:sz w:val="20"/>
          <w:szCs w:val="20"/>
        </w:rPr>
        <w:t>Corti Costituzionali e Comparazione Giuridica</w:t>
      </w:r>
      <w:r>
        <w:rPr>
          <w:rFonts w:ascii="Cambria" w:hAnsi="Cambria" w:cs="Cambria"/>
          <w:sz w:val="20"/>
          <w:szCs w:val="20"/>
        </w:rPr>
        <w:t xml:space="preserve">, a cura di G. F. FERRARI E A. GAMBARO, Napoli, 2006; </w:t>
      </w:r>
      <w:r>
        <w:rPr>
          <w:rFonts w:ascii="Cambria" w:hAnsi="Cambria" w:cs="Cambria"/>
          <w:i/>
          <w:iCs/>
          <w:sz w:val="20"/>
          <w:szCs w:val="20"/>
        </w:rPr>
        <w:t>L’alta Corte costituzionale egiziana</w:t>
      </w:r>
      <w:r>
        <w:rPr>
          <w:rFonts w:ascii="Cambria" w:hAnsi="Cambria" w:cs="Cambria"/>
          <w:sz w:val="20"/>
          <w:szCs w:val="20"/>
        </w:rPr>
        <w:t xml:space="preserve">, in </w:t>
      </w:r>
      <w:r>
        <w:rPr>
          <w:rFonts w:ascii="Cambria" w:hAnsi="Cambria" w:cs="Cambria"/>
          <w:i/>
          <w:iCs/>
          <w:sz w:val="20"/>
          <w:szCs w:val="20"/>
        </w:rPr>
        <w:t>Corti Costituzionali e Comparazione Giuridica</w:t>
      </w:r>
      <w:r>
        <w:rPr>
          <w:rFonts w:ascii="Cambria" w:hAnsi="Cambria" w:cs="Cambria"/>
          <w:sz w:val="20"/>
          <w:szCs w:val="20"/>
        </w:rPr>
        <w:t xml:space="preserve">, a cura di G. F. FERRARI E A. GAMBARO, Napoli, 2006;  </w:t>
      </w:r>
      <w:r>
        <w:rPr>
          <w:rFonts w:ascii="Cambria" w:hAnsi="Cambria" w:cs="Cambria"/>
          <w:i/>
          <w:iCs/>
          <w:sz w:val="20"/>
          <w:szCs w:val="20"/>
        </w:rPr>
        <w:t>I Paesi del mondo islamico</w:t>
      </w:r>
      <w:r>
        <w:rPr>
          <w:rFonts w:ascii="Cambria" w:hAnsi="Cambria" w:cs="Cambria"/>
          <w:sz w:val="20"/>
          <w:szCs w:val="20"/>
        </w:rPr>
        <w:t xml:space="preserve">, in P. CARROZZA, A. DI GIOVINE, G. F. FERRARI, </w:t>
      </w:r>
      <w:r>
        <w:rPr>
          <w:rFonts w:ascii="Cambria" w:hAnsi="Cambria" w:cs="Cambria"/>
          <w:i/>
          <w:iCs/>
          <w:sz w:val="20"/>
          <w:szCs w:val="20"/>
        </w:rPr>
        <w:t>Diritto Costituzionale Comparato</w:t>
      </w:r>
      <w:r>
        <w:rPr>
          <w:rFonts w:ascii="Cambria" w:hAnsi="Cambria" w:cs="Cambria"/>
          <w:sz w:val="20"/>
          <w:szCs w:val="20"/>
        </w:rPr>
        <w:t xml:space="preserve">, Bari, 2008; </w:t>
      </w:r>
      <w:r>
        <w:rPr>
          <w:rFonts w:ascii="Cambria" w:hAnsi="Cambria" w:cs="Cambria"/>
          <w:i/>
          <w:iCs/>
          <w:sz w:val="20"/>
          <w:szCs w:val="20"/>
        </w:rPr>
        <w:t>L’organizzazione dei poteri locali nella tradizione dei Paesi a diritto musulmano</w:t>
      </w:r>
      <w:r>
        <w:rPr>
          <w:rFonts w:ascii="Cambria" w:hAnsi="Cambria" w:cs="Cambria"/>
          <w:sz w:val="20"/>
          <w:szCs w:val="20"/>
        </w:rPr>
        <w:t xml:space="preserve">, in L. PEGORARO, </w:t>
      </w:r>
      <w:r>
        <w:rPr>
          <w:rFonts w:ascii="Cambria" w:hAnsi="Cambria" w:cs="Cambria"/>
          <w:i/>
          <w:iCs/>
          <w:sz w:val="20"/>
          <w:szCs w:val="20"/>
        </w:rPr>
        <w:t>Municipi D’Oriente</w:t>
      </w:r>
      <w:r>
        <w:rPr>
          <w:rFonts w:ascii="Cambria" w:hAnsi="Cambria" w:cs="Cambria"/>
          <w:sz w:val="20"/>
          <w:szCs w:val="20"/>
        </w:rPr>
        <w:t xml:space="preserve">, Bologna, 2009; </w:t>
      </w:r>
      <w:r>
        <w:rPr>
          <w:rFonts w:ascii="Cambria" w:hAnsi="Cambria" w:cs="Cambria"/>
          <w:i/>
          <w:iCs/>
          <w:sz w:val="20"/>
          <w:szCs w:val="20"/>
        </w:rPr>
        <w:t>Il diritto islamico</w:t>
      </w:r>
      <w:r>
        <w:rPr>
          <w:rFonts w:ascii="Cambria" w:hAnsi="Cambria" w:cs="Cambria"/>
          <w:sz w:val="20"/>
          <w:szCs w:val="20"/>
        </w:rPr>
        <w:t xml:space="preserve">, voce in </w:t>
      </w:r>
      <w:r>
        <w:rPr>
          <w:rFonts w:ascii="Cambria" w:hAnsi="Cambria" w:cs="Cambria"/>
          <w:i/>
          <w:iCs/>
          <w:sz w:val="20"/>
          <w:szCs w:val="20"/>
        </w:rPr>
        <w:t>Glossario di Diritto Pubblico comparato</w:t>
      </w:r>
      <w:r>
        <w:rPr>
          <w:rFonts w:ascii="Cambria" w:hAnsi="Cambria" w:cs="Cambria"/>
          <w:sz w:val="20"/>
          <w:szCs w:val="20"/>
        </w:rPr>
        <w:t xml:space="preserve">, Roma, 2009; </w:t>
      </w:r>
      <w:r>
        <w:rPr>
          <w:rFonts w:ascii="Cambria" w:hAnsi="Cambria" w:cs="Cambria"/>
          <w:i/>
          <w:iCs/>
          <w:sz w:val="20"/>
          <w:szCs w:val="20"/>
        </w:rPr>
        <w:t>Narcisismo Constitucional: considerações sobre o constitucionalismo árabe a partir da hermenêutica filósofica</w:t>
      </w:r>
      <w:r>
        <w:rPr>
          <w:rFonts w:ascii="Cambria" w:hAnsi="Cambria" w:cs="Cambria"/>
          <w:sz w:val="20"/>
          <w:szCs w:val="20"/>
        </w:rPr>
        <w:t xml:space="preserve">, Novos Estudos Juridicos, Brasile); </w:t>
      </w:r>
    </w:p>
    <w:p w:rsidR="00730BF8" w:rsidRDefault="00730BF8">
      <w:pPr>
        <w:tabs>
          <w:tab w:val="left" w:pos="3600"/>
          <w:tab w:val="right" w:pos="8640"/>
        </w:tabs>
        <w:spacing w:before="160" w:line="36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nell’area del </w:t>
      </w:r>
      <w:r>
        <w:rPr>
          <w:rFonts w:ascii="Cambria" w:hAnsi="Cambria" w:cs="Cambria"/>
          <w:b/>
          <w:bCs/>
          <w:sz w:val="20"/>
          <w:szCs w:val="20"/>
        </w:rPr>
        <w:t>Diritto transnazionale</w:t>
      </w:r>
      <w:r>
        <w:rPr>
          <w:rFonts w:ascii="Cambria" w:hAnsi="Cambria" w:cs="Cambria"/>
          <w:sz w:val="20"/>
          <w:szCs w:val="20"/>
        </w:rPr>
        <w:t xml:space="preserve"> (tra cui si segnalano: </w:t>
      </w:r>
      <w:r>
        <w:rPr>
          <w:rFonts w:ascii="Cambria" w:hAnsi="Cambria" w:cs="Cambria"/>
          <w:i/>
          <w:iCs/>
          <w:sz w:val="20"/>
          <w:szCs w:val="20"/>
        </w:rPr>
        <w:t>Reflexões sobre o Direito Transnacional</w:t>
      </w:r>
      <w:r>
        <w:rPr>
          <w:rFonts w:ascii="Cambria" w:hAnsi="Cambria" w:cs="Cambria"/>
          <w:sz w:val="20"/>
          <w:szCs w:val="20"/>
        </w:rPr>
        <w:t xml:space="preserve">, NEJ, 2012; Brasile; </w:t>
      </w:r>
      <w:r>
        <w:rPr>
          <w:rFonts w:ascii="Cambria" w:hAnsi="Cambria" w:cs="Cambria"/>
          <w:i/>
          <w:iCs/>
          <w:sz w:val="20"/>
          <w:szCs w:val="20"/>
        </w:rPr>
        <w:t>Reflexões sobre a crise financeira internacional e o Estado  de bem-estar</w:t>
      </w:r>
      <w:r>
        <w:rPr>
          <w:rFonts w:ascii="Cambria" w:hAnsi="Cambria" w:cs="Cambria"/>
          <w:sz w:val="20"/>
          <w:szCs w:val="20"/>
        </w:rPr>
        <w:t>, Revista Jurídica Cesumar, 2013, Brasile).</w:t>
      </w:r>
    </w:p>
    <w:p w:rsidR="00730BF8" w:rsidRDefault="00730BF8">
      <w:pPr>
        <w:tabs>
          <w:tab w:val="left" w:pos="3600"/>
          <w:tab w:val="right" w:pos="8640"/>
        </w:tabs>
        <w:spacing w:before="160" w:line="36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Ha partecipato, diretto e coordinato ricerche. In particolare ha coordinato il Progetto CNR relativo alla “</w:t>
      </w:r>
      <w:r>
        <w:rPr>
          <w:rFonts w:ascii="Cambria" w:hAnsi="Cambria" w:cs="Cambria"/>
          <w:i/>
          <w:iCs/>
          <w:sz w:val="20"/>
          <w:szCs w:val="20"/>
        </w:rPr>
        <w:t>Tutela dei Diritti individuali</w:t>
      </w:r>
      <w:r>
        <w:rPr>
          <w:rFonts w:ascii="Cambria" w:hAnsi="Cambria" w:cs="Cambria"/>
          <w:sz w:val="20"/>
          <w:szCs w:val="20"/>
        </w:rPr>
        <w:t>”. Nell’ambito dei Programmi di Ricerca di Interesse Nazionale ha partecipato nel 1998 al Progetto “</w:t>
      </w:r>
      <w:r>
        <w:rPr>
          <w:rFonts w:ascii="Cambria" w:hAnsi="Cambria" w:cs="Cambria"/>
          <w:i/>
          <w:iCs/>
          <w:sz w:val="20"/>
          <w:szCs w:val="20"/>
        </w:rPr>
        <w:t>Forma di governo e istituzioni parlamentari</w:t>
      </w:r>
      <w:r>
        <w:rPr>
          <w:rFonts w:ascii="Cambria" w:hAnsi="Cambria" w:cs="Cambria"/>
          <w:sz w:val="20"/>
          <w:szCs w:val="20"/>
        </w:rPr>
        <w:t>”; nel 1999 al Progetto “</w:t>
      </w:r>
      <w:r>
        <w:rPr>
          <w:rFonts w:ascii="Cambria" w:hAnsi="Cambria" w:cs="Cambria"/>
          <w:i/>
          <w:iCs/>
          <w:sz w:val="20"/>
          <w:szCs w:val="20"/>
        </w:rPr>
        <w:t>Organi di indirizzo e di garanzia politica</w:t>
      </w:r>
      <w:r>
        <w:rPr>
          <w:rFonts w:ascii="Cambria" w:hAnsi="Cambria" w:cs="Cambria"/>
          <w:sz w:val="20"/>
          <w:szCs w:val="20"/>
        </w:rPr>
        <w:t>”; nel 2001 al Progetto “</w:t>
      </w:r>
      <w:r>
        <w:rPr>
          <w:rFonts w:ascii="Cambria" w:hAnsi="Cambria" w:cs="Cambria"/>
          <w:i/>
          <w:iCs/>
          <w:sz w:val="20"/>
          <w:szCs w:val="20"/>
        </w:rPr>
        <w:t>Le relazioni della Santa Sede con gli Stati dell'area mediterranea. Tutela della libertà di culto delle comunità cattoliche che godono di Statuti particolari</w:t>
      </w:r>
      <w:r>
        <w:rPr>
          <w:rFonts w:ascii="Cambria" w:hAnsi="Cambria" w:cs="Cambria"/>
          <w:sz w:val="20"/>
          <w:szCs w:val="20"/>
        </w:rPr>
        <w:t>”; nel 2003 al Progetto “</w:t>
      </w:r>
      <w:r>
        <w:rPr>
          <w:rFonts w:ascii="Cambria" w:hAnsi="Cambria" w:cs="Cambria"/>
          <w:i/>
          <w:iCs/>
          <w:sz w:val="20"/>
          <w:szCs w:val="20"/>
        </w:rPr>
        <w:t>Responsabilità ed immunità dei titolari di cariche politiche</w:t>
      </w:r>
      <w:r>
        <w:rPr>
          <w:rFonts w:ascii="Cambria" w:hAnsi="Cambria" w:cs="Cambria"/>
          <w:sz w:val="20"/>
          <w:szCs w:val="20"/>
        </w:rPr>
        <w:t>”. E’ attualmente responsabile e dirige l’Unità di Ricerca di interesse nazionale sul tema “</w:t>
      </w:r>
      <w:r>
        <w:rPr>
          <w:rFonts w:ascii="Cambria" w:hAnsi="Cambria" w:cs="Cambria"/>
          <w:i/>
          <w:iCs/>
          <w:sz w:val="20"/>
          <w:szCs w:val="20"/>
        </w:rPr>
        <w:t>Corti, Dottrina e società inclusiva: l’impatto dei formanti dottrinali sulle Corti di vertice</w:t>
      </w:r>
      <w:r>
        <w:rPr>
          <w:rFonts w:ascii="Cambria" w:hAnsi="Cambria" w:cs="Cambria"/>
          <w:sz w:val="20"/>
          <w:szCs w:val="20"/>
        </w:rPr>
        <w:t>”.</w:t>
      </w:r>
    </w:p>
    <w:p w:rsidR="00730BF8" w:rsidRDefault="00730BF8">
      <w:pPr>
        <w:tabs>
          <w:tab w:val="left" w:pos="3600"/>
          <w:tab w:val="right" w:pos="8640"/>
        </w:tabs>
        <w:spacing w:before="160" w:line="36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Nel 2005 è nominato componente del Collegio di Dottorato "Storia Politica e istituzioni dell’area Euro-mediterranea nell’età contemporanea” presso l'Università di Macerata; è attualmente componente del Collegio di Dottorato “Diritto Pubblico e Costruzione delle tradizioni giuridiche”.</w:t>
      </w:r>
      <w:bookmarkStart w:id="0" w:name="_GoBack"/>
      <w:bookmarkEnd w:id="0"/>
    </w:p>
    <w:p w:rsidR="00730BF8" w:rsidRDefault="00730BF8">
      <w:pPr>
        <w:tabs>
          <w:tab w:val="left" w:pos="3600"/>
          <w:tab w:val="right" w:pos="8640"/>
        </w:tabs>
        <w:spacing w:before="160" w:line="36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Nel 2005 è stato nominato </w:t>
      </w:r>
      <w:r>
        <w:rPr>
          <w:rFonts w:ascii="Cambria" w:hAnsi="Cambria" w:cs="Cambria"/>
          <w:noProof/>
          <w:sz w:val="20"/>
          <w:szCs w:val="20"/>
        </w:rPr>
        <w:t>esperto esterno presso il Comitato interministeriale per i diritti Umani (CIDU)</w:t>
      </w:r>
    </w:p>
    <w:p w:rsidR="00730BF8" w:rsidRDefault="00730BF8">
      <w:pPr>
        <w:pStyle w:val="BodyText2"/>
        <w:tabs>
          <w:tab w:val="left" w:pos="3600"/>
          <w:tab w:val="right" w:pos="8640"/>
        </w:tabs>
        <w:spacing w:before="160"/>
      </w:pPr>
      <w:r>
        <w:t>E’ componente di diversi comitati editoriali e scientifici, tra cui si segnalano: la Rivista di Diritto Pubblico comparato ed Europeo, la Rivista le Nuove Autonomie, Transnational Law Review, l’Annuario di Diritto comparato e di studi legislativi, Colloquia Mediterranea.</w:t>
      </w:r>
    </w:p>
    <w:p w:rsidR="00730BF8" w:rsidRDefault="00730BF8">
      <w:pPr>
        <w:tabs>
          <w:tab w:val="left" w:pos="3600"/>
          <w:tab w:val="right" w:pos="8640"/>
        </w:tabs>
        <w:spacing w:before="160" w:line="36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Ha partecipato in qualità di relatore a convegni su tematiche del Diritto pubblico comparato e del Diritto islamico, in Italia e all'estero.</w:t>
      </w:r>
    </w:p>
    <w:p w:rsidR="00730BF8" w:rsidRDefault="00730BF8">
      <w:pPr>
        <w:tabs>
          <w:tab w:val="left" w:pos="3600"/>
          <w:tab w:val="right" w:pos="8640"/>
        </w:tabs>
        <w:spacing w:before="160" w:line="36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E’ membro dell’Associazione italiana dei costituzionalisti,  dell’Associazione italiana di diritto comparato e della Transnational Law Association.</w:t>
      </w:r>
    </w:p>
    <w:p w:rsidR="00730BF8" w:rsidRDefault="00730BF8">
      <w:pPr>
        <w:tabs>
          <w:tab w:val="left" w:pos="3600"/>
          <w:tab w:val="right" w:pos="8640"/>
        </w:tabs>
        <w:spacing w:before="160" w:line="36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Ha curato e partecipato all’organizzazione scientifica di convegni e incontri scientifici di rilievo nazionale e internazionale nei campi di competenza. </w:t>
      </w:r>
    </w:p>
    <w:p w:rsidR="00730BF8" w:rsidRDefault="00730BF8">
      <w:pPr>
        <w:tabs>
          <w:tab w:val="left" w:pos="3600"/>
          <w:tab w:val="right" w:pos="8640"/>
        </w:tabs>
        <w:spacing w:before="160" w:line="36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E’ stata commissario di concorsi universitari e di concorsi pubblici presso varie pubbliche amministrazioni.</w:t>
      </w:r>
    </w:p>
    <w:p w:rsidR="00730BF8" w:rsidRDefault="00730BF8">
      <w:pPr>
        <w:tabs>
          <w:tab w:val="left" w:pos="3600"/>
          <w:tab w:val="right" w:pos="8640"/>
        </w:tabs>
        <w:spacing w:before="160" w:line="360" w:lineRule="auto"/>
        <w:jc w:val="both"/>
        <w:rPr>
          <w:rFonts w:ascii="Cambria" w:hAnsi="Cambria" w:cs="Cambria"/>
          <w:sz w:val="20"/>
          <w:szCs w:val="20"/>
        </w:rPr>
      </w:pPr>
    </w:p>
    <w:p w:rsidR="00730BF8" w:rsidRDefault="00730BF8">
      <w:pPr>
        <w:tabs>
          <w:tab w:val="left" w:pos="3600"/>
          <w:tab w:val="right" w:pos="8640"/>
        </w:tabs>
        <w:spacing w:before="160" w:line="360" w:lineRule="auto"/>
        <w:jc w:val="both"/>
        <w:rPr>
          <w:rFonts w:ascii="Cambria" w:hAnsi="Cambria" w:cs="Cambria"/>
          <w:sz w:val="20"/>
          <w:szCs w:val="20"/>
        </w:rPr>
      </w:pPr>
    </w:p>
    <w:p w:rsidR="00730BF8" w:rsidRDefault="00730BF8">
      <w:pPr>
        <w:pBdr>
          <w:bottom w:val="single" w:sz="4" w:space="1" w:color="C0C0C0"/>
        </w:pBdr>
        <w:spacing w:before="160" w:after="0" w:line="360" w:lineRule="auto"/>
        <w:ind w:left="0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Attività internazionali</w:t>
      </w:r>
    </w:p>
    <w:p w:rsidR="00730BF8" w:rsidRDefault="00730BF8">
      <w:pPr>
        <w:spacing w:line="360" w:lineRule="auto"/>
        <w:jc w:val="both"/>
        <w:rPr>
          <w:rFonts w:ascii="Cambria" w:hAnsi="Cambria" w:cs="Cambria"/>
          <w:sz w:val="20"/>
          <w:szCs w:val="20"/>
        </w:rPr>
      </w:pPr>
    </w:p>
    <w:p w:rsidR="00730BF8" w:rsidRDefault="00730BF8">
      <w:pPr>
        <w:pStyle w:val="BodyText2"/>
      </w:pPr>
      <w:r>
        <w:t>Ha svolto numerosi periodi di studio all’estero (Stati Uniti, Brasile, Spagna, Germania,Grecia, Tunisia, Giordania, Israele, Egitto) svolgendo attività di ricerca e didattica come Visiting Professor (Columbia University, New York; UNIVALI, Santa Caterina; Uninorte, Manaus; UnB, Brasilia; Universidad de Alicante; Universidad de Jaèn; Universidad Carlos III de Madrid;Max PlanckInstitute for Comparative Public Law and International Law in Heidelberg; Al-Quds University, Gerusalemme; San Joseph University, Beirut; University of Eskesir; Amman University; Haifa University).</w:t>
      </w:r>
    </w:p>
    <w:p w:rsidR="00730BF8" w:rsidRDefault="00730BF8">
      <w:pPr>
        <w:pStyle w:val="BodyText2"/>
      </w:pPr>
    </w:p>
    <w:p w:rsidR="00730BF8" w:rsidRDefault="00730BF8">
      <w:pPr>
        <w:pStyle w:val="BodyText2"/>
        <w:rPr>
          <w:noProof/>
        </w:rPr>
      </w:pPr>
      <w:r>
        <w:t>E’ stato membro dell</w:t>
      </w:r>
      <w:r>
        <w:rPr>
          <w:noProof/>
        </w:rPr>
        <w:t>a Commissione Internazionale di 30 esperti dalla OCSE per la preparazione delle nuove Costituzioni democratiche nelle ex Repubbliche socialiste dell'Asia centrale (nel 1993).</w:t>
      </w:r>
    </w:p>
    <w:p w:rsidR="00730BF8" w:rsidRDefault="00730BF8">
      <w:pPr>
        <w:pStyle w:val="BodyText2"/>
        <w:rPr>
          <w:noProof/>
        </w:rPr>
      </w:pPr>
      <w:r>
        <w:t xml:space="preserve">Membro del </w:t>
      </w:r>
      <w:r>
        <w:rPr>
          <w:noProof/>
        </w:rPr>
        <w:t>Centro di Studi sui Paesi del Mediterraneo istituito dalla Commissione europea (dal 1994).</w:t>
      </w:r>
    </w:p>
    <w:p w:rsidR="00730BF8" w:rsidRDefault="00730BF8">
      <w:pPr>
        <w:pStyle w:val="BodyText2"/>
        <w:rPr>
          <w:noProof/>
        </w:rPr>
      </w:pPr>
      <w:r>
        <w:rPr>
          <w:noProof/>
        </w:rPr>
        <w:t>Membro del “Colloque International de Beyrouth” sull’”Evoluzione costituzionale dei Paesi arabi” (nel 1997).</w:t>
      </w:r>
    </w:p>
    <w:p w:rsidR="00730BF8" w:rsidRDefault="00730BF8">
      <w:pPr>
        <w:pStyle w:val="BodyText2"/>
        <w:rPr>
          <w:noProof/>
        </w:rPr>
      </w:pPr>
      <w:r>
        <w:rPr>
          <w:noProof/>
        </w:rPr>
        <w:t>Coordinatore del Comitato Scientifico Internazionale per l’Institutional Building in Medio Oriente (dal 2003).</w:t>
      </w:r>
    </w:p>
    <w:p w:rsidR="00730BF8" w:rsidRDefault="00730BF8">
      <w:pPr>
        <w:pStyle w:val="BodyText2"/>
        <w:rPr>
          <w:noProof/>
        </w:rPr>
      </w:pPr>
      <w:r>
        <w:rPr>
          <w:noProof/>
        </w:rPr>
        <w:t>Membro del Comitato scientifico per la riforma del sistema giudiziario in Afghanistan e docente nell’ambito del Programma di formazione dei giudici afgani (nel 2006).</w:t>
      </w:r>
    </w:p>
    <w:p w:rsidR="00730BF8" w:rsidRDefault="00730BF8">
      <w:pPr>
        <w:pStyle w:val="BodyText2"/>
        <w:rPr>
          <w:noProof/>
        </w:rPr>
      </w:pPr>
      <w:r>
        <w:rPr>
          <w:noProof/>
        </w:rPr>
        <w:t>Direttore scientifico, nell’ambito del Programma Justice Now, del “Progetto per la realizzazione della prima Camera Arbitrale in Palestina (ACP, dal 2009).</w:t>
      </w:r>
    </w:p>
    <w:p w:rsidR="00730BF8" w:rsidRDefault="00730BF8">
      <w:pPr>
        <w:pStyle w:val="BodyText2"/>
        <w:rPr>
          <w:noProof/>
        </w:rPr>
      </w:pPr>
      <w:r>
        <w:rPr>
          <w:noProof/>
        </w:rPr>
        <w:t>Nominato responsabile scientifico della Fondazione Hassan II per il programma di riforma del “Diritto allo Studio in Marocco” (nel 2010).</w:t>
      </w:r>
    </w:p>
    <w:p w:rsidR="00730BF8" w:rsidRDefault="00730BF8">
      <w:pPr>
        <w:pStyle w:val="BodyText2"/>
        <w:rPr>
          <w:noProof/>
        </w:rPr>
      </w:pPr>
      <w:r>
        <w:rPr>
          <w:noProof/>
        </w:rPr>
        <w:t>Membro della Commissione per il “Draft della nuova Costituzione palestinese” (dal 2010).</w:t>
      </w:r>
    </w:p>
    <w:p w:rsidR="00730BF8" w:rsidRDefault="00730BF8">
      <w:pPr>
        <w:pStyle w:val="BodyText2"/>
      </w:pPr>
      <w:r>
        <w:rPr>
          <w:noProof/>
        </w:rPr>
        <w:t>Nominato “Professore Straniero Esperto” presso CAPES (</w:t>
      </w:r>
      <w:r>
        <w:t xml:space="preserve">Coordenação de Aperfeiçoamento de Pessoal de Nível Superior) del Ministero dell’Istruzione in Brasile (dal 2011). </w:t>
      </w:r>
    </w:p>
    <w:p w:rsidR="00730BF8" w:rsidRDefault="00730BF8">
      <w:pPr>
        <w:pStyle w:val="BodyText2"/>
      </w:pPr>
      <w:r>
        <w:t>Membro del Tavolo Internazionale della Lega Araba per “Activation of the Statute of the Arab Parliament”, con sede a Baghdad (dal 2013).</w:t>
      </w:r>
    </w:p>
    <w:p w:rsidR="00730BF8" w:rsidRDefault="00730BF8">
      <w:pPr>
        <w:tabs>
          <w:tab w:val="left" w:pos="3600"/>
          <w:tab w:val="right" w:pos="8640"/>
        </w:tabs>
        <w:spacing w:before="160" w:line="360" w:lineRule="auto"/>
        <w:jc w:val="both"/>
        <w:rPr>
          <w:rFonts w:ascii="Cambria" w:hAnsi="Cambria" w:cs="Cambria"/>
          <w:sz w:val="20"/>
          <w:szCs w:val="20"/>
        </w:rPr>
      </w:pPr>
    </w:p>
    <w:p w:rsidR="00730BF8" w:rsidRDefault="00730BF8">
      <w:pPr>
        <w:pBdr>
          <w:bottom w:val="single" w:sz="4" w:space="1" w:color="C0C0C0"/>
        </w:pBdr>
        <w:spacing w:before="160" w:after="0" w:line="360" w:lineRule="auto"/>
        <w:ind w:left="0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Attività istituzionali</w:t>
      </w:r>
    </w:p>
    <w:p w:rsidR="00730BF8" w:rsidRDefault="00730BF8">
      <w:pPr>
        <w:spacing w:line="360" w:lineRule="auto"/>
        <w:jc w:val="both"/>
        <w:rPr>
          <w:rFonts w:ascii="Cambria" w:hAnsi="Cambria" w:cs="Cambria"/>
          <w:sz w:val="20"/>
          <w:szCs w:val="20"/>
        </w:rPr>
      </w:pPr>
    </w:p>
    <w:p w:rsidR="00730BF8" w:rsidRDefault="00730BF8">
      <w:pPr>
        <w:pStyle w:val="Body1"/>
        <w:rPr>
          <w:rFonts w:ascii="Cambria" w:hAnsi="Cambria" w:cs="Cambria"/>
          <w:noProof/>
          <w:color w:val="auto"/>
          <w:sz w:val="20"/>
          <w:szCs w:val="20"/>
        </w:rPr>
      </w:pPr>
      <w:r>
        <w:rPr>
          <w:rFonts w:ascii="Cambria" w:hAnsi="Cambria" w:cs="Cambria"/>
          <w:noProof/>
          <w:color w:val="auto"/>
          <w:sz w:val="20"/>
          <w:szCs w:val="20"/>
        </w:rPr>
        <w:t>;</w:t>
      </w:r>
    </w:p>
    <w:p w:rsidR="00730BF8" w:rsidRDefault="00730BF8">
      <w:pPr>
        <w:pStyle w:val="BodyText2"/>
        <w:rPr>
          <w:noProof/>
        </w:rPr>
      </w:pPr>
      <w:r>
        <w:rPr>
          <w:noProof/>
        </w:rPr>
        <w:t xml:space="preserve">Nominato Commissario Straordinario dell’Agenzia Regionale per il Diritto allo Studio Universitario della Regione Umbria (nel 2007). </w:t>
      </w:r>
    </w:p>
    <w:p w:rsidR="00730BF8" w:rsidRDefault="00730BF8">
      <w:pPr>
        <w:pStyle w:val="BodyText2"/>
        <w:rPr>
          <w:noProof/>
        </w:rPr>
      </w:pPr>
      <w:r>
        <w:rPr>
          <w:noProof/>
        </w:rPr>
        <w:t>Eletto membro dell'esecutivo nazionale dell'ANDISU (2008).</w:t>
      </w:r>
    </w:p>
    <w:p w:rsidR="00730BF8" w:rsidRDefault="00730BF8">
      <w:pPr>
        <w:pStyle w:val="BodyText2"/>
        <w:rPr>
          <w:noProof/>
        </w:rPr>
      </w:pPr>
      <w:r>
        <w:rPr>
          <w:noProof/>
        </w:rPr>
        <w:t>In seguito al risanamento economico dell’Agenzia Regionale per il Diritto allo Studio Universitario della Regione Umbria, nominato Amministratore Unico dell’Ente (dal 2009).</w:t>
      </w:r>
    </w:p>
    <w:p w:rsidR="00730BF8" w:rsidRDefault="00730BF8">
      <w:pPr>
        <w:pStyle w:val="BodyText2"/>
        <w:rPr>
          <w:noProof/>
        </w:rPr>
      </w:pPr>
      <w:r>
        <w:rPr>
          <w:noProof/>
        </w:rPr>
        <w:t>Nominato Consigliere presso la Presidenza della Camera dei Deputati del Parlamento italiano (nel 2006).</w:t>
      </w:r>
    </w:p>
    <w:p w:rsidR="00730BF8" w:rsidRDefault="00730BF8">
      <w:pPr>
        <w:pStyle w:val="BodyText2"/>
        <w:rPr>
          <w:noProof/>
        </w:rPr>
      </w:pPr>
      <w:r>
        <w:rPr>
          <w:noProof/>
        </w:rPr>
        <w:t>Nominato componente della Commissione Statuto e Regolamenti in qualità di esperto per la redazione dei Regolamenti sul funzionamento del Consiglio ed il Regolamento sulla partecipazione del Comune di Perugia (nel 2010).</w:t>
      </w:r>
    </w:p>
    <w:p w:rsidR="00730BF8" w:rsidRDefault="00730BF8">
      <w:pPr>
        <w:pStyle w:val="BodyText2"/>
        <w:rPr>
          <w:noProof/>
        </w:rPr>
      </w:pPr>
      <w:r>
        <w:rPr>
          <w:noProof/>
        </w:rPr>
        <w:t>Nominato componente della Commissione Speciale per la Riforma dello Statuto della Regione Umbria (nel 2011).</w:t>
      </w:r>
    </w:p>
    <w:p w:rsidR="00730BF8" w:rsidRDefault="00730BF8">
      <w:pPr>
        <w:pStyle w:val="BodyText2"/>
        <w:rPr>
          <w:noProof/>
        </w:rPr>
      </w:pPr>
      <w:r>
        <w:rPr>
          <w:noProof/>
        </w:rPr>
        <w:t>Nominato dalla Commissione Europea “Ambasciatore Erasmus” per l’Italia (dal 2012).</w:t>
      </w:r>
    </w:p>
    <w:p w:rsidR="00730BF8" w:rsidRDefault="00730BF8">
      <w:pPr>
        <w:pStyle w:val="BodyText2"/>
        <w:rPr>
          <w:noProof/>
        </w:rPr>
      </w:pPr>
    </w:p>
    <w:p w:rsidR="00730BF8" w:rsidRDefault="00730BF8">
      <w:pPr>
        <w:pStyle w:val="BodyText2"/>
        <w:rPr>
          <w:noProof/>
        </w:rPr>
      </w:pPr>
    </w:p>
    <w:p w:rsidR="00730BF8" w:rsidRDefault="00730BF8">
      <w:pPr>
        <w:pStyle w:val="BodyText2"/>
        <w:rPr>
          <w:noProof/>
        </w:rPr>
      </w:pPr>
    </w:p>
    <w:p w:rsidR="00730BF8" w:rsidRDefault="00730BF8">
      <w:pPr>
        <w:pStyle w:val="BodyText2"/>
        <w:rPr>
          <w:noProof/>
        </w:rPr>
      </w:pPr>
    </w:p>
    <w:p w:rsidR="00730BF8" w:rsidRDefault="00730BF8">
      <w:pPr>
        <w:pStyle w:val="BodyText2"/>
      </w:pPr>
    </w:p>
    <w:sectPr w:rsidR="00730BF8" w:rsidSect="00730BF8">
      <w:pgSz w:w="11909" w:h="16834" w:code="9"/>
      <w:pgMar w:top="1417" w:right="2160" w:bottom="7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534B"/>
    <w:multiLevelType w:val="hybridMultilevel"/>
    <w:tmpl w:val="E45E66B2"/>
    <w:lvl w:ilvl="0" w:tplc="84148F0A">
      <w:start w:val="1"/>
      <w:numFmt w:val="bullet"/>
      <w:pStyle w:val="Risultati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  <w:color w:val="999999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hyphenationZone w:val="283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0BF8"/>
    <w:rsid w:val="00730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/>
      <w:ind w:left="2160"/>
    </w:pPr>
    <w:rPr>
      <w:rFonts w:ascii="Tahoma" w:hAnsi="Tahoma" w:cs="Tahoma"/>
      <w:spacing w:val="10"/>
      <w:sz w:val="16"/>
      <w:szCs w:val="16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pacing w:val="10"/>
      <w:sz w:val="2"/>
      <w:szCs w:val="2"/>
    </w:rPr>
  </w:style>
  <w:style w:type="paragraph" w:customStyle="1" w:styleId="Nome">
    <w:name w:val="Nome"/>
    <w:next w:val="Normal"/>
    <w:autoRedefine/>
    <w:uiPriority w:val="99"/>
    <w:pPr>
      <w:spacing w:before="360" w:after="440" w:line="240" w:lineRule="atLeast"/>
    </w:pPr>
    <w:rPr>
      <w:rFonts w:ascii="Tahoma" w:hAnsi="Tahoma" w:cs="Tahoma"/>
      <w:noProof/>
      <w:color w:val="999999"/>
      <w:spacing w:val="10"/>
      <w:sz w:val="28"/>
      <w:szCs w:val="28"/>
    </w:rPr>
  </w:style>
  <w:style w:type="paragraph" w:customStyle="1" w:styleId="Titolosezione">
    <w:name w:val="Titolo sezione"/>
    <w:uiPriority w:val="99"/>
    <w:pPr>
      <w:pBdr>
        <w:bottom w:val="single" w:sz="4" w:space="1" w:color="C0C0C0"/>
      </w:pBdr>
      <w:spacing w:before="160"/>
    </w:pPr>
    <w:rPr>
      <w:rFonts w:ascii="Tahoma" w:hAnsi="Tahoma" w:cs="Tahoma"/>
      <w:spacing w:val="10"/>
      <w:sz w:val="16"/>
      <w:szCs w:val="16"/>
    </w:rPr>
  </w:style>
  <w:style w:type="paragraph" w:customStyle="1" w:styleId="Informazionicontatto">
    <w:name w:val="Informazioni contatto"/>
    <w:uiPriority w:val="99"/>
    <w:rPr>
      <w:rFonts w:ascii="Tahoma" w:hAnsi="Tahoma" w:cs="Tahoma"/>
      <w:spacing w:val="10"/>
      <w:sz w:val="16"/>
      <w:szCs w:val="16"/>
    </w:rPr>
  </w:style>
  <w:style w:type="paragraph" w:customStyle="1" w:styleId="Posizione">
    <w:name w:val="Posizione"/>
    <w:basedOn w:val="Normal"/>
    <w:uiPriority w:val="99"/>
    <w:pPr>
      <w:spacing w:before="0"/>
    </w:pPr>
    <w:rPr>
      <w:color w:val="808080"/>
    </w:rPr>
  </w:style>
  <w:style w:type="paragraph" w:customStyle="1" w:styleId="Risultati">
    <w:name w:val="Risultati"/>
    <w:basedOn w:val="Normal"/>
    <w:uiPriority w:val="99"/>
    <w:pPr>
      <w:numPr>
        <w:numId w:val="2"/>
      </w:numPr>
    </w:pPr>
  </w:style>
  <w:style w:type="paragraph" w:customStyle="1" w:styleId="Dataeluogo">
    <w:name w:val="Data e luogo"/>
    <w:basedOn w:val="Normal"/>
    <w:uiPriority w:val="99"/>
    <w:pPr>
      <w:tabs>
        <w:tab w:val="left" w:pos="3600"/>
        <w:tab w:val="right" w:pos="8640"/>
      </w:tabs>
      <w:spacing w:before="160"/>
    </w:pPr>
  </w:style>
  <w:style w:type="paragraph" w:customStyle="1" w:styleId="Obiettivo">
    <w:name w:val="Obiettivo"/>
    <w:basedOn w:val="Normal"/>
    <w:uiPriority w:val="99"/>
    <w:pPr>
      <w:spacing w:after="200"/>
    </w:pPr>
  </w:style>
  <w:style w:type="paragraph" w:styleId="BodyText2">
    <w:name w:val="Body Text 2"/>
    <w:basedOn w:val="Normal"/>
    <w:link w:val="BodyText2Char"/>
    <w:uiPriority w:val="99"/>
    <w:pPr>
      <w:spacing w:line="360" w:lineRule="auto"/>
      <w:jc w:val="both"/>
    </w:pPr>
    <w:rPr>
      <w:rFonts w:ascii="Cambria" w:hAnsi="Cambria" w:cs="Cambria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ahoma" w:hAnsi="Tahoma" w:cs="Tahoma"/>
      <w:spacing w:val="10"/>
      <w:sz w:val="16"/>
      <w:szCs w:val="16"/>
    </w:rPr>
  </w:style>
  <w:style w:type="paragraph" w:customStyle="1" w:styleId="Body1">
    <w:name w:val="Body 1"/>
    <w:autoRedefine/>
    <w:uiPriority w:val="99"/>
    <w:rPr>
      <w:rFonts w:ascii="Helvetica" w:eastAsia="Arial Unicode MS" w:hAnsi="Helvetica" w:cs="Helvetic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121</TotalTime>
  <Pages>6</Pages>
  <Words>1559</Words>
  <Characters>8891</Characters>
  <Application>Microsoft Office Outlook</Application>
  <DocSecurity>0</DocSecurity>
  <Lines>0</Lines>
  <Paragraphs>0</Paragraphs>
  <ScaleCrop>false</ScaleCrop>
  <Company>Microsoft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Maurizio</dc:creator>
  <cp:keywords/>
  <dc:description/>
  <cp:lastModifiedBy>katias</cp:lastModifiedBy>
  <cp:revision>11</cp:revision>
  <cp:lastPrinted>2013-04-30T13:22:00Z</cp:lastPrinted>
  <dcterms:created xsi:type="dcterms:W3CDTF">2013-04-30T11:29:00Z</dcterms:created>
  <dcterms:modified xsi:type="dcterms:W3CDTF">2013-04-30T13:47:00Z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TC063694991040</vt:lpwstr>
  </property>
</Properties>
</file>