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A0" w:rsidRPr="004368A0" w:rsidRDefault="004368A0" w:rsidP="004368A0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aps/>
          <w:sz w:val="28"/>
          <w:szCs w:val="28"/>
          <w:lang w:eastAsia="it-IT"/>
        </w:rPr>
      </w:pPr>
      <w:r w:rsidRPr="004368A0">
        <w:rPr>
          <w:rFonts w:ascii="Arial" w:eastAsia="Times New Roman" w:hAnsi="Arial" w:cs="Times New Roman"/>
          <w:b/>
          <w:bCs/>
          <w:caps/>
          <w:sz w:val="28"/>
          <w:szCs w:val="28"/>
          <w:lang w:eastAsia="it-IT"/>
        </w:rPr>
        <w:t xml:space="preserve">Curriculum </w:t>
      </w:r>
      <w:r w:rsidR="00095AC0">
        <w:rPr>
          <w:rFonts w:ascii="Arial" w:eastAsia="Times New Roman" w:hAnsi="Arial" w:cs="Times New Roman"/>
          <w:b/>
          <w:bCs/>
          <w:caps/>
          <w:sz w:val="28"/>
          <w:szCs w:val="28"/>
          <w:lang w:eastAsia="it-IT"/>
        </w:rPr>
        <w:t>scientifico</w:t>
      </w:r>
    </w:p>
    <w:p w:rsidR="004368A0" w:rsidRPr="004368A0" w:rsidRDefault="004368A0" w:rsidP="004368A0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4368A0">
        <w:rPr>
          <w:rFonts w:ascii="Arial" w:eastAsia="Times New Roman" w:hAnsi="Arial" w:cs="Times New Roman"/>
          <w:sz w:val="20"/>
          <w:szCs w:val="20"/>
          <w:lang w:eastAsia="it-IT"/>
        </w:rPr>
        <w:t>di Fabio Raspadori</w:t>
      </w:r>
    </w:p>
    <w:p w:rsidR="004368A0" w:rsidRPr="004368A0" w:rsidRDefault="004368A0" w:rsidP="004368A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:rsidR="004368A0" w:rsidRPr="004368A0" w:rsidRDefault="004368A0" w:rsidP="004368A0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sz w:val="24"/>
          <w:szCs w:val="24"/>
          <w:u w:val="single"/>
          <w:lang w:eastAsia="it-IT"/>
        </w:rPr>
      </w:pPr>
      <w:r w:rsidRPr="004368A0">
        <w:rPr>
          <w:rFonts w:ascii="Arial" w:eastAsia="Times New Roman" w:hAnsi="Arial" w:cs="Times New Roman"/>
          <w:sz w:val="24"/>
          <w:szCs w:val="24"/>
          <w:u w:val="single"/>
          <w:lang w:eastAsia="it-IT"/>
        </w:rPr>
        <w:t>Dati personali</w:t>
      </w:r>
    </w:p>
    <w:p w:rsidR="004368A0" w:rsidRPr="004368A0" w:rsidRDefault="004368A0" w:rsidP="004368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</w:p>
    <w:p w:rsidR="004368A0" w:rsidRPr="004368A0" w:rsidRDefault="004368A0" w:rsidP="004368A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4368A0">
        <w:rPr>
          <w:rFonts w:ascii="Arial" w:eastAsia="Times New Roman" w:hAnsi="Arial" w:cs="Times New Roman"/>
          <w:sz w:val="20"/>
          <w:szCs w:val="20"/>
          <w:lang w:eastAsia="it-IT"/>
        </w:rPr>
        <w:t>Luogo e data di nascita: L’Aquila, 19 ottobre 1963</w:t>
      </w:r>
    </w:p>
    <w:p w:rsidR="004368A0" w:rsidRPr="004368A0" w:rsidRDefault="004368A0" w:rsidP="004368A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4368A0">
        <w:rPr>
          <w:rFonts w:ascii="Arial" w:eastAsia="Times New Roman" w:hAnsi="Arial" w:cs="Times New Roman"/>
          <w:sz w:val="20"/>
          <w:szCs w:val="20"/>
          <w:lang w:eastAsia="it-IT"/>
        </w:rPr>
        <w:t>Stato civile: Coniugato</w:t>
      </w:r>
    </w:p>
    <w:p w:rsidR="004368A0" w:rsidRDefault="004368A0" w:rsidP="0018705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4368A0">
        <w:rPr>
          <w:rFonts w:ascii="Arial" w:eastAsia="Times New Roman" w:hAnsi="Arial" w:cs="Times New Roman"/>
          <w:sz w:val="20"/>
          <w:szCs w:val="20"/>
          <w:lang w:eastAsia="it-IT"/>
        </w:rPr>
        <w:t xml:space="preserve">Residenza: Perugia, </w:t>
      </w:r>
    </w:p>
    <w:p w:rsidR="0018705C" w:rsidRPr="004368A0" w:rsidRDefault="0018705C" w:rsidP="0018705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4368A0" w:rsidRPr="004368A0" w:rsidRDefault="004368A0" w:rsidP="004368A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4368A0">
        <w:rPr>
          <w:rFonts w:ascii="Arial" w:eastAsia="Times New Roman" w:hAnsi="Arial" w:cs="Times New Roman"/>
          <w:sz w:val="20"/>
          <w:szCs w:val="20"/>
          <w:lang w:eastAsia="it-IT"/>
        </w:rPr>
        <w:t xml:space="preserve">e-mail: </w:t>
      </w:r>
      <w:hyperlink r:id="rId6" w:history="1">
        <w:r w:rsidR="0018705C" w:rsidRPr="001D0AC4">
          <w:rPr>
            <w:rStyle w:val="Collegamentoipertestuale"/>
            <w:rFonts w:ascii="Arial" w:eastAsia="Times New Roman" w:hAnsi="Arial" w:cs="Times New Roman"/>
            <w:sz w:val="20"/>
            <w:szCs w:val="20"/>
            <w:lang w:eastAsia="it-IT"/>
          </w:rPr>
          <w:t>fabio</w:t>
        </w:r>
        <w:r w:rsidR="0018705C" w:rsidRPr="001D0AC4">
          <w:rPr>
            <w:rStyle w:val="Collegamentoipertestuale"/>
          </w:rPr>
          <w:t>.raspadori@unipg.it</w:t>
        </w:r>
      </w:hyperlink>
      <w:r w:rsidR="0018705C">
        <w:t xml:space="preserve"> </w:t>
      </w:r>
      <w:r w:rsidR="0018705C" w:rsidRPr="004368A0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</w:p>
    <w:p w:rsidR="004368A0" w:rsidRPr="004368A0" w:rsidRDefault="004368A0" w:rsidP="004368A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4368A0" w:rsidRPr="004368A0" w:rsidRDefault="004368A0" w:rsidP="004368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368A0" w:rsidRPr="004368A0" w:rsidRDefault="004368A0" w:rsidP="004368A0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4368A0" w:rsidRPr="004368A0" w:rsidRDefault="004368A0" w:rsidP="004368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4368A0" w:rsidRDefault="004368A0" w:rsidP="004368A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4368A0">
        <w:rPr>
          <w:rFonts w:ascii="Arial" w:eastAsia="Times New Roman" w:hAnsi="Arial" w:cs="Arial"/>
          <w:sz w:val="20"/>
          <w:szCs w:val="20"/>
          <w:u w:val="single"/>
          <w:lang w:eastAsia="it-IT"/>
        </w:rPr>
        <w:t xml:space="preserve">Incarichi di direzione nell’ambito di progetti di ricerca e alta formazione in Italia e all’estero </w:t>
      </w:r>
    </w:p>
    <w:p w:rsidR="00AE2276" w:rsidRPr="004368A0" w:rsidRDefault="00AE2276" w:rsidP="004368A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3A4088" w:rsidRDefault="003A4088" w:rsidP="003A4088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  <w:proofErr w:type="spellStart"/>
      <w:r>
        <w:rPr>
          <w:rFonts w:ascii="Arial" w:eastAsia="Times New Roman" w:hAnsi="Arial" w:cs="Arial"/>
          <w:bCs/>
          <w:i/>
          <w:sz w:val="20"/>
          <w:szCs w:val="20"/>
          <w:lang w:eastAsia="it-IT"/>
        </w:rPr>
        <w:t>Summer</w:t>
      </w:r>
      <w:proofErr w:type="spellEnd"/>
      <w:r>
        <w:rPr>
          <w:rFonts w:ascii="Arial" w:eastAsia="Times New Roman" w:hAnsi="Arial" w:cs="Arial"/>
          <w:bCs/>
          <w:i/>
          <w:sz w:val="20"/>
          <w:szCs w:val="20"/>
          <w:lang w:eastAsia="it-IT"/>
        </w:rPr>
        <w:t>/</w:t>
      </w:r>
      <w:proofErr w:type="spellStart"/>
      <w:r>
        <w:rPr>
          <w:rFonts w:ascii="Arial" w:eastAsia="Times New Roman" w:hAnsi="Arial" w:cs="Arial"/>
          <w:bCs/>
          <w:i/>
          <w:sz w:val="20"/>
          <w:szCs w:val="20"/>
          <w:lang w:eastAsia="it-IT"/>
        </w:rPr>
        <w:t>Winter</w:t>
      </w:r>
      <w:proofErr w:type="spellEnd"/>
      <w:r>
        <w:rPr>
          <w:rFonts w:ascii="Arial" w:eastAsia="Times New Roman" w:hAnsi="Arial" w:cs="Arial"/>
          <w:bCs/>
          <w:i/>
          <w:sz w:val="20"/>
          <w:szCs w:val="20"/>
          <w:lang w:eastAsia="it-IT"/>
        </w:rPr>
        <w:t xml:space="preserve"> School del Dipartimento di </w:t>
      </w:r>
      <w:r w:rsidRPr="003A4088">
        <w:rPr>
          <w:rFonts w:ascii="Arial" w:eastAsia="Times New Roman" w:hAnsi="Arial" w:cs="Arial"/>
          <w:bCs/>
          <w:i/>
          <w:sz w:val="20"/>
          <w:szCs w:val="20"/>
          <w:lang w:eastAsia="it-IT"/>
        </w:rPr>
        <w:t xml:space="preserve">Scienze politiche dell’Università di Perugia in </w:t>
      </w:r>
      <w:proofErr w:type="spellStart"/>
      <w:r w:rsidRPr="003A4088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Europrogettazione</w:t>
      </w:r>
      <w:proofErr w:type="spellEnd"/>
      <w:r w:rsidRPr="003A4088">
        <w:rPr>
          <w:rFonts w:ascii="Arial" w:eastAsia="Times New Roman" w:hAnsi="Arial" w:cs="Arial"/>
          <w:bCs/>
          <w:i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bCs/>
          <w:i/>
          <w:sz w:val="20"/>
          <w:szCs w:val="20"/>
          <w:lang w:eastAsia="it-IT"/>
        </w:rPr>
        <w:t>in collaborazione con l’Agenzia formativa Superficie 8</w:t>
      </w:r>
    </w:p>
    <w:p w:rsidR="004368A0" w:rsidRPr="003A4088" w:rsidRDefault="003A4088" w:rsidP="003A408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3A4088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Responsabile scientifico della prima edizione 2014 </w:t>
      </w:r>
    </w:p>
    <w:p w:rsidR="003A4088" w:rsidRDefault="003A4088" w:rsidP="004368A0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p w:rsidR="004368A0" w:rsidRPr="004368A0" w:rsidRDefault="004368A0" w:rsidP="004368A0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  <w:r w:rsidRPr="004368A0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Accordo di Collaborazione tra l’Università degli Studi di Perugia e la Regione dell’Umbria per la realizzazione di attività di studio e ricerca in materia di partecipazione degli enti “Regione” all’ordinamento dell’Unione europea – 2012-213</w:t>
      </w:r>
    </w:p>
    <w:p w:rsidR="004368A0" w:rsidRPr="004368A0" w:rsidRDefault="004368A0" w:rsidP="004368A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68A0">
        <w:rPr>
          <w:rFonts w:ascii="Arial" w:eastAsia="Times New Roman" w:hAnsi="Arial" w:cs="Arial"/>
          <w:sz w:val="20"/>
          <w:szCs w:val="20"/>
          <w:lang w:eastAsia="it-IT"/>
        </w:rPr>
        <w:t>Responsabile per l’Università degli Studi di Perugia - Dipartimento Istituzioni e Società del Comitato Scientifico del Progetto di ricerca biennale (2012-2013) “Regioni e Unione europea (REUE)”: L</w:t>
      </w:r>
      <w:r w:rsidRPr="004368A0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a partecipazione delle regioni italiane all’Unione europea, alla luce del Trattato di Lisbona e del quadro legislativo interno</w:t>
      </w:r>
      <w:r w:rsidRPr="004368A0">
        <w:rPr>
          <w:rFonts w:ascii="Arial" w:eastAsia="Times New Roman" w:hAnsi="Arial" w:cs="Arial"/>
          <w:sz w:val="20"/>
          <w:szCs w:val="20"/>
          <w:lang w:eastAsia="it-IT"/>
        </w:rPr>
        <w:t>”</w:t>
      </w:r>
    </w:p>
    <w:p w:rsidR="004368A0" w:rsidRPr="004368A0" w:rsidRDefault="004368A0" w:rsidP="004368A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4368A0" w:rsidRPr="004368A0" w:rsidRDefault="004368A0" w:rsidP="004368A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it-IT"/>
        </w:rPr>
      </w:pPr>
      <w:r w:rsidRPr="004368A0">
        <w:rPr>
          <w:rFonts w:ascii="Arial" w:eastAsia="Times New Roman" w:hAnsi="Arial" w:cs="Arial"/>
          <w:i/>
          <w:sz w:val="20"/>
          <w:szCs w:val="20"/>
          <w:lang w:val="en-GB" w:eastAsia="it-IT"/>
        </w:rPr>
        <w:t>Jean Monnet Programme</w:t>
      </w:r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 xml:space="preserve">, </w:t>
      </w:r>
      <w:proofErr w:type="spellStart"/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>Commissione</w:t>
      </w:r>
      <w:proofErr w:type="spellEnd"/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 xml:space="preserve"> </w:t>
      </w:r>
      <w:proofErr w:type="spellStart"/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>europea</w:t>
      </w:r>
      <w:proofErr w:type="spellEnd"/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 xml:space="preserve"> </w:t>
      </w:r>
    </w:p>
    <w:p w:rsidR="004368A0" w:rsidRPr="004368A0" w:rsidRDefault="004368A0" w:rsidP="004368A0">
      <w:pPr>
        <w:numPr>
          <w:ilvl w:val="0"/>
          <w:numId w:val="9"/>
        </w:numPr>
        <w:spacing w:after="0" w:line="240" w:lineRule="auto"/>
        <w:ind w:left="315" w:hanging="315"/>
        <w:rPr>
          <w:rFonts w:ascii="Arial" w:eastAsia="Times New Roman" w:hAnsi="Arial" w:cs="Arial"/>
          <w:sz w:val="20"/>
          <w:szCs w:val="20"/>
          <w:lang w:val="en-GB" w:eastAsia="it-IT"/>
        </w:rPr>
      </w:pPr>
      <w:proofErr w:type="spellStart"/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>Resposabile</w:t>
      </w:r>
      <w:proofErr w:type="spellEnd"/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 xml:space="preserve"> dell’ European Mentor Activities </w:t>
      </w:r>
      <w:proofErr w:type="spellStart"/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>nell’ambito</w:t>
      </w:r>
      <w:proofErr w:type="spellEnd"/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 xml:space="preserve"> </w:t>
      </w:r>
      <w:proofErr w:type="spellStart"/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>dell’Esprit</w:t>
      </w:r>
      <w:proofErr w:type="spellEnd"/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 xml:space="preserve"> Project (European Spirit Challenge in School Education) </w:t>
      </w:r>
      <w:proofErr w:type="spellStart"/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>presentato</w:t>
      </w:r>
      <w:proofErr w:type="spellEnd"/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 xml:space="preserve"> dal </w:t>
      </w:r>
      <w:smartTag w:uri="urn:schemas-microsoft-com:office:smarttags" w:element="PersonName">
        <w:r w:rsidRPr="004368A0">
          <w:rPr>
            <w:rFonts w:ascii="Arial" w:eastAsia="Times New Roman" w:hAnsi="Arial" w:cs="Arial"/>
            <w:sz w:val="20"/>
            <w:szCs w:val="20"/>
            <w:lang w:val="en-GB" w:eastAsia="it-IT"/>
          </w:rPr>
          <w:t>TUCEP</w:t>
        </w:r>
      </w:smartTag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 xml:space="preserve"> (</w:t>
      </w:r>
      <w:r w:rsidRPr="004368A0">
        <w:rPr>
          <w:rFonts w:ascii="Arial" w:eastAsia="Times New Roman" w:hAnsi="Arial" w:cs="Arial"/>
          <w:bCs/>
          <w:sz w:val="20"/>
          <w:szCs w:val="20"/>
          <w:lang w:val="en-GB" w:eastAsia="it-IT"/>
        </w:rPr>
        <w:t xml:space="preserve">Tiber Umbria </w:t>
      </w:r>
      <w:proofErr w:type="spellStart"/>
      <w:r w:rsidRPr="004368A0">
        <w:rPr>
          <w:rFonts w:ascii="Arial" w:eastAsia="Times New Roman" w:hAnsi="Arial" w:cs="Arial"/>
          <w:bCs/>
          <w:sz w:val="20"/>
          <w:szCs w:val="20"/>
          <w:lang w:val="en-GB" w:eastAsia="it-IT"/>
        </w:rPr>
        <w:t>Comett</w:t>
      </w:r>
      <w:proofErr w:type="spellEnd"/>
      <w:r w:rsidRPr="004368A0">
        <w:rPr>
          <w:rFonts w:ascii="Arial" w:eastAsia="Times New Roman" w:hAnsi="Arial" w:cs="Arial"/>
          <w:bCs/>
          <w:sz w:val="20"/>
          <w:szCs w:val="20"/>
          <w:lang w:val="en-GB" w:eastAsia="it-IT"/>
        </w:rPr>
        <w:t xml:space="preserve"> Education Programme</w:t>
      </w:r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 xml:space="preserve">) e </w:t>
      </w:r>
      <w:proofErr w:type="spellStart"/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>vincitore</w:t>
      </w:r>
      <w:proofErr w:type="spellEnd"/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 xml:space="preserve"> del Bando </w:t>
      </w:r>
      <w:r w:rsidRPr="004368A0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</w:t>
      </w:r>
      <w:r w:rsidRPr="004368A0">
        <w:rPr>
          <w:rFonts w:ascii="Arial" w:eastAsia="Times New Roman" w:hAnsi="Arial" w:cs="Arial"/>
          <w:bCs/>
          <w:sz w:val="20"/>
          <w:szCs w:val="20"/>
          <w:lang w:val="en-US" w:eastAsia="it-IT"/>
        </w:rPr>
        <w:t xml:space="preserve">LLP JEAN MONNET PROGRAMME, KEY ACTIVITY 1  Information and Research Activities for "Learning EU at School" </w:t>
      </w:r>
      <w:r w:rsidRPr="004368A0">
        <w:rPr>
          <w:rFonts w:ascii="Arial" w:eastAsia="Times New Roman" w:hAnsi="Arial" w:cs="Arial"/>
          <w:sz w:val="20"/>
          <w:szCs w:val="20"/>
          <w:lang w:val="en-US" w:eastAsia="it-IT"/>
        </w:rPr>
        <w:t xml:space="preserve"> Call for proposals – EAC/27/2011</w:t>
      </w:r>
      <w:r w:rsidRPr="004368A0">
        <w:rPr>
          <w:rFonts w:ascii="Arial" w:eastAsia="Times New Roman" w:hAnsi="Arial" w:cs="Arial"/>
          <w:sz w:val="20"/>
          <w:szCs w:val="20"/>
          <w:lang w:val="en-GB" w:eastAsia="it-IT"/>
        </w:rPr>
        <w:t xml:space="preserve"> </w:t>
      </w:r>
    </w:p>
    <w:p w:rsidR="00956104" w:rsidRPr="00956104" w:rsidRDefault="00956104" w:rsidP="004368A0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en-GB" w:eastAsia="it-IT"/>
        </w:rPr>
      </w:pPr>
    </w:p>
    <w:p w:rsidR="004368A0" w:rsidRPr="004368A0" w:rsidRDefault="004368A0" w:rsidP="004368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4368A0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Dipartimento per le politiche europee della Presidenza del Consiglio dei ministri - Università degli Studi di Perugia </w:t>
      </w:r>
    </w:p>
    <w:p w:rsidR="004368A0" w:rsidRPr="004368A0" w:rsidRDefault="004368A0" w:rsidP="004368A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4368A0">
        <w:rPr>
          <w:rFonts w:ascii="Arial" w:eastAsia="Times New Roman" w:hAnsi="Arial" w:cs="Arial"/>
          <w:sz w:val="20"/>
          <w:szCs w:val="20"/>
          <w:lang w:eastAsia="it-IT"/>
        </w:rPr>
        <w:t>Responsabile del Progetto FISE Italia centrale 2011, finanziato dal Dipartimento per le politiche europee della Presidenza del Consiglio dei Ministri, al quale hanno partecipato 5 Università dell’Italia centrale (Perugia, Roma “La Sapienza”, Firenze, Macerata e Teramo) per la diffusione di informazioni sull’Unione europea in quotidiani locali di grande tiratura</w:t>
      </w:r>
    </w:p>
    <w:p w:rsidR="004368A0" w:rsidRPr="004368A0" w:rsidRDefault="004368A0" w:rsidP="004368A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4368A0">
        <w:rPr>
          <w:rFonts w:ascii="Arial" w:eastAsia="Times New Roman" w:hAnsi="Arial" w:cs="Arial"/>
          <w:sz w:val="20"/>
          <w:szCs w:val="20"/>
          <w:lang w:eastAsia="it-IT"/>
        </w:rPr>
        <w:t>Responsabile del Progetto FISE Italia del sud 2012, finanziato dal Dipartimento per le politiche europee della Presidenza del Consiglio dei Ministri, al quale hanno partecipato 5 Università dell’Italia del sud centrale (Bari, Catania, Università della Calabria, Foggia, Napoli “Orientale”) per la diffusione di informazioni sull’Unione europea in quotidiani locali di grande tiratura</w:t>
      </w:r>
    </w:p>
    <w:p w:rsidR="004368A0" w:rsidRPr="004368A0" w:rsidRDefault="004368A0" w:rsidP="004368A0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4368A0" w:rsidRPr="004368A0" w:rsidRDefault="004368A0" w:rsidP="004368A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4368A0">
        <w:rPr>
          <w:rFonts w:ascii="Arial" w:eastAsia="Times New Roman" w:hAnsi="Arial" w:cs="Arial"/>
          <w:i/>
          <w:sz w:val="20"/>
          <w:szCs w:val="20"/>
          <w:lang w:eastAsia="it-IT"/>
        </w:rPr>
        <w:t>Master di II livello in Esperto in Progettazione per l’accesso ai fondi europei</w:t>
      </w:r>
    </w:p>
    <w:p w:rsidR="004368A0" w:rsidRPr="004368A0" w:rsidRDefault="004368A0" w:rsidP="004368A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68A0">
        <w:rPr>
          <w:rFonts w:ascii="Arial" w:eastAsia="Times New Roman" w:hAnsi="Arial" w:cs="Arial"/>
          <w:sz w:val="20"/>
          <w:szCs w:val="20"/>
          <w:lang w:eastAsia="it-IT"/>
        </w:rPr>
        <w:t xml:space="preserve">Direttore del Comitato Scientifico e Coordinatore del Master in Esperto in Progettazione per l’accesso ai fondi europei della Facoltà di Scienze Politiche di Perugia, anno accademico 2005-2006, </w:t>
      </w:r>
      <w:r w:rsidRPr="004368A0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vincitore del</w:t>
      </w:r>
      <w:r w:rsidRPr="004368A0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4368A0">
        <w:rPr>
          <w:rFonts w:ascii="Arial" w:eastAsia="Times New Roman" w:hAnsi="Arial" w:cs="Arial"/>
          <w:sz w:val="20"/>
          <w:szCs w:val="20"/>
          <w:lang w:eastAsia="it-IT"/>
        </w:rPr>
        <w:t xml:space="preserve">Bando obiettivo 3, 2000-2006 Post-diploma e alta formazione (misure C3-D4) della </w:t>
      </w:r>
      <w:smartTag w:uri="urn:schemas-microsoft-com:office:smarttags" w:element="PersonName">
        <w:r w:rsidRPr="004368A0">
          <w:rPr>
            <w:rFonts w:ascii="Arial" w:eastAsia="Times New Roman" w:hAnsi="Arial" w:cs="Arial"/>
            <w:sz w:val="20"/>
            <w:szCs w:val="20"/>
            <w:lang w:eastAsia="it-IT"/>
          </w:rPr>
          <w:t>Regione Umbria</w:t>
        </w:r>
      </w:smartTag>
      <w:r w:rsidRPr="004368A0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4368A0" w:rsidRPr="004368A0" w:rsidRDefault="004368A0" w:rsidP="004368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095AC0" w:rsidRDefault="00095AC0" w:rsidP="004368A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4368A0" w:rsidRPr="00095AC0" w:rsidRDefault="00095AC0" w:rsidP="004368A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bookmarkStart w:id="0" w:name="_GoBack"/>
      <w:bookmarkEnd w:id="0"/>
      <w:r w:rsidRPr="00095AC0">
        <w:rPr>
          <w:rFonts w:ascii="Arial" w:eastAsia="Times New Roman" w:hAnsi="Arial" w:cs="Arial"/>
          <w:sz w:val="20"/>
          <w:szCs w:val="20"/>
          <w:u w:val="single"/>
          <w:lang w:eastAsia="it-IT"/>
        </w:rPr>
        <w:t>Pubblicazioni</w:t>
      </w:r>
    </w:p>
    <w:p w:rsidR="004368A0" w:rsidRDefault="004368A0" w:rsidP="004368A0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it-IT"/>
        </w:rPr>
      </w:pPr>
    </w:p>
    <w:p w:rsidR="00095AC0" w:rsidRPr="004368A0" w:rsidRDefault="00095AC0" w:rsidP="004368A0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it-IT"/>
        </w:rPr>
      </w:pPr>
    </w:p>
    <w:p w:rsidR="009F674F" w:rsidRPr="009F674F" w:rsidRDefault="009F674F" w:rsidP="009F674F">
      <w:pPr>
        <w:spacing w:after="80" w:line="240" w:lineRule="exact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Monografie: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La partecipazione delle regioni italiane all'Unione europea dopo il Trattato di Lisbona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proofErr w:type="spellStart"/>
      <w:r w:rsidRPr="009F674F">
        <w:rPr>
          <w:rFonts w:ascii="Arial" w:eastAsia="Times New Roman" w:hAnsi="Arial" w:cs="Arial"/>
          <w:sz w:val="20"/>
          <w:szCs w:val="20"/>
          <w:lang w:eastAsia="it-IT"/>
        </w:rPr>
        <w:t>Giappichelli</w:t>
      </w:r>
      <w:proofErr w:type="spellEnd"/>
      <w:r w:rsidRPr="009F674F">
        <w:rPr>
          <w:rFonts w:ascii="Arial" w:eastAsia="Times New Roman" w:hAnsi="Arial" w:cs="Arial"/>
          <w:sz w:val="20"/>
          <w:szCs w:val="20"/>
          <w:lang w:eastAsia="it-IT"/>
        </w:rPr>
        <w:t>, Torino, 2012, pp. 296.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La politica estera dell’Unione europea: istituzioni e strumenti di pace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>, Morlacchi, Perugia, 2007, pp. 216.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OGM: lineamenti della disciplina europea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>, 2007, Morlacchi, Perugia, 2007, pp. 125.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lastRenderedPageBreak/>
        <w:t>I trattati internazionali sui diritti umani e il giudice italiano,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proofErr w:type="spellStart"/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Giuffrè</w:t>
      </w:r>
      <w:proofErr w:type="spellEnd"/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Milano, 2000, pp. XII- 366.</w:t>
      </w:r>
    </w:p>
    <w:p w:rsidR="009F674F" w:rsidRPr="009F674F" w:rsidRDefault="009F674F" w:rsidP="009F674F">
      <w:pPr>
        <w:spacing w:after="80" w:line="240" w:lineRule="exact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9F674F" w:rsidRPr="009F674F" w:rsidRDefault="009F674F" w:rsidP="009F674F">
      <w:pPr>
        <w:spacing w:after="8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Volumi di cui si è curata la pubblicazione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Gli enti territoriali di fronte alla sfida della modernizzazione di appalti e aiuti di Stato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>, Maggioli, 2014, pp. 100 [ISBN: 8891603899]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L’Unione europea tra allargamento e Trattato costituzion</w:t>
      </w:r>
      <w:smartTag w:uri="urn:schemas-microsoft-com:office:smarttags" w:element="PersonName">
        <w:r w:rsidRPr="009F674F">
          <w:rPr>
            <w:rFonts w:ascii="Arial" w:eastAsia="Times New Roman" w:hAnsi="Arial" w:cs="Arial"/>
            <w:i/>
            <w:sz w:val="20"/>
            <w:szCs w:val="20"/>
            <w:lang w:eastAsia="it-IT"/>
          </w:rPr>
          <w:t>ale</w:t>
        </w:r>
      </w:smartTag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(a cura di) F. </w:t>
      </w:r>
      <w:smartTag w:uri="urn:schemas-microsoft-com:office:smarttags" w:element="PersonName">
        <w:r w:rsidRPr="009F674F">
          <w:rPr>
            <w:rFonts w:ascii="Arial" w:eastAsia="Times New Roman" w:hAnsi="Arial" w:cs="Arial"/>
            <w:sz w:val="20"/>
            <w:szCs w:val="20"/>
            <w:lang w:eastAsia="it-IT"/>
          </w:rPr>
          <w:t>Raspadori</w:t>
        </w:r>
      </w:smartTag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 e M. Signorelli, </w:t>
      </w:r>
      <w:proofErr w:type="spellStart"/>
      <w:r w:rsidRPr="009F674F">
        <w:rPr>
          <w:rFonts w:ascii="Arial" w:eastAsia="Times New Roman" w:hAnsi="Arial" w:cs="Arial"/>
          <w:sz w:val="20"/>
          <w:szCs w:val="20"/>
          <w:lang w:eastAsia="it-IT"/>
        </w:rPr>
        <w:t>Giappichelli</w:t>
      </w:r>
      <w:proofErr w:type="spellEnd"/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, 2005, pp. 371 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Rio cinque anni dopo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, (a cura di) S. Marchisio, F. Raspadori, A. Maneggia, </w:t>
      </w:r>
      <w:proofErr w:type="spellStart"/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FrancoAngeli</w:t>
      </w:r>
      <w:proofErr w:type="spellEnd"/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1998, pp. 144.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 xml:space="preserve">L’Italia e i diritti umani, 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(a cura di) S. Marchisio e F. Raspadori, Cedam, Padova, 1995, pp. XVIII, 411.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Coordinatore di </w:t>
      </w: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Osservatorio diritti umani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pubblicazione dell'Istituto di Studi Giuridici sulla Comunità Internazionale del CNR, Presidenza del Consiglio dei Ministri, Roma, 1996, pp. XXXV-185.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Partecipazione alla stesura di casi relativi alla </w:t>
      </w: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Prassi italiana di diritto internazionale III serie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(1919-1925)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, a cura di S. Marchisio, O. Ferrajolo, Viviana </w:t>
      </w:r>
      <w:proofErr w:type="spellStart"/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Javicoli</w:t>
      </w:r>
      <w:proofErr w:type="spellEnd"/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F. Marcelli, Consiglio Nazionale delle Ricerche, VIII vol., 1995.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Collaborazione alla stesura di </w:t>
      </w: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Rio ‘92 Vertice per la Terra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a cura di Garaguso e Marchisio, Franco Angeli, 1993, pp. 752.</w:t>
      </w:r>
    </w:p>
    <w:p w:rsidR="009F674F" w:rsidRPr="009F674F" w:rsidRDefault="009F674F" w:rsidP="009F674F">
      <w:pPr>
        <w:spacing w:after="80" w:line="240" w:lineRule="exact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9F674F" w:rsidRPr="009F674F" w:rsidRDefault="009F674F" w:rsidP="009F674F">
      <w:pPr>
        <w:spacing w:after="80" w:line="240" w:lineRule="exact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Articoli e contributi:</w:t>
      </w:r>
    </w:p>
    <w:p w:rsidR="009F674F" w:rsidRPr="009F674F" w:rsidRDefault="009F674F" w:rsidP="009F67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9F674F" w:rsidRPr="009F674F" w:rsidRDefault="009F674F" w:rsidP="009F674F">
      <w:pPr>
        <w:numPr>
          <w:ilvl w:val="0"/>
          <w:numId w:val="5"/>
        </w:numPr>
        <w:spacing w:after="80" w:line="240" w:lineRule="exact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La politica di comunicazione: un’ «incerta» competenza dell’unione europea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, in Quaderni europei </w:t>
      </w: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Online </w:t>
      </w:r>
      <w:proofErr w:type="spellStart"/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Working</w:t>
      </w:r>
      <w:proofErr w:type="spellEnd"/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</w:t>
      </w:r>
      <w:proofErr w:type="spellStart"/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Paper</w:t>
      </w:r>
      <w:proofErr w:type="spellEnd"/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giugno 2014 /n. 6</w:t>
      </w:r>
    </w:p>
    <w:p w:rsidR="009F674F" w:rsidRPr="009F674F" w:rsidRDefault="009F674F" w:rsidP="009F674F">
      <w:pPr>
        <w:spacing w:after="80" w:line="240" w:lineRule="exact"/>
        <w:ind w:left="360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 (</w:t>
      </w:r>
      <w:hyperlink r:id="rId7" w:history="1">
        <w:r w:rsidRPr="009F674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it-IT"/>
          </w:rPr>
          <w:t>http://www.cde.unict.it/quadernieuropei/speciale/6_2014.pdf</w:t>
        </w:r>
      </w:hyperlink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), pp. 75-89 </w:t>
      </w:r>
    </w:p>
    <w:p w:rsidR="009F674F" w:rsidRPr="009F674F" w:rsidRDefault="009F674F" w:rsidP="009F674F">
      <w:pPr>
        <w:numPr>
          <w:ilvl w:val="0"/>
          <w:numId w:val="5"/>
        </w:numPr>
        <w:spacing w:after="8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Appalti e aiuti di Stato quali strumenti di crescita territoriale nella Strategia Europa 2020, 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>in F. Raspadori (a cura di)</w:t>
      </w: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, Gli enti territoriali di fronte alla sfida della modernizzazione di appalti e aiuti di Stato, 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>Maggioli,</w:t>
      </w: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>2014, pp. 9-12</w:t>
      </w:r>
    </w:p>
    <w:p w:rsidR="009F674F" w:rsidRPr="009F674F" w:rsidRDefault="009F674F" w:rsidP="009F674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I valori comuni dell’Unione Europea quale fondamento del processo di integrazione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>, in</w:t>
      </w: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“I Diritti dell’Uomo – cronache e battaglie”, 2013, n. 2, pp. 56-58</w:t>
      </w:r>
    </w:p>
    <w:p w:rsidR="009F674F" w:rsidRPr="009F674F" w:rsidRDefault="009F674F" w:rsidP="009F674F">
      <w:pPr>
        <w:spacing w:after="0" w:line="240" w:lineRule="auto"/>
        <w:ind w:left="360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9F674F" w:rsidRPr="009F674F" w:rsidRDefault="009F674F" w:rsidP="009F674F">
      <w:pPr>
        <w:numPr>
          <w:ilvl w:val="0"/>
          <w:numId w:val="5"/>
        </w:numPr>
        <w:spacing w:after="80" w:line="240" w:lineRule="exact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Il diritto di iniziativa dei cittadini europei quale nuovo strumento di democrazia partecipativa nell’Unione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, in </w:t>
      </w: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Studi sull’integrazione europea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>, n. 3, 2010, pp. 675-690</w:t>
      </w:r>
    </w:p>
    <w:p w:rsidR="009F674F" w:rsidRPr="009F674F" w:rsidRDefault="009F674F" w:rsidP="009F674F">
      <w:pPr>
        <w:numPr>
          <w:ilvl w:val="0"/>
          <w:numId w:val="5"/>
        </w:numPr>
        <w:spacing w:after="80" w:line="240" w:lineRule="exact"/>
        <w:jc w:val="both"/>
        <w:rPr>
          <w:rFonts w:ascii="Arial" w:eastAsia="Times New Roman" w:hAnsi="Arial" w:cs="Arial"/>
          <w:sz w:val="20"/>
          <w:szCs w:val="20"/>
          <w:lang w:val="en-GB"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val="en-GB" w:eastAsia="it-IT"/>
        </w:rPr>
        <w:t>Deficit of Representation in the European Parliament. Shortcoming and solutions</w:t>
      </w:r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 xml:space="preserve">, in </w:t>
      </w:r>
      <w:r w:rsidRPr="009F674F">
        <w:rPr>
          <w:rFonts w:ascii="Arial" w:eastAsia="Times New Roman" w:hAnsi="Arial" w:cs="Arial"/>
          <w:i/>
          <w:sz w:val="20"/>
          <w:szCs w:val="20"/>
          <w:lang w:val="en-GB" w:eastAsia="it-IT"/>
        </w:rPr>
        <w:t xml:space="preserve">The Road Europe </w:t>
      </w:r>
      <w:proofErr w:type="spellStart"/>
      <w:r w:rsidRPr="009F674F">
        <w:rPr>
          <w:rFonts w:ascii="Arial" w:eastAsia="Times New Roman" w:hAnsi="Arial" w:cs="Arial"/>
          <w:i/>
          <w:sz w:val="20"/>
          <w:szCs w:val="20"/>
          <w:lang w:val="en-GB" w:eastAsia="it-IT"/>
        </w:rPr>
        <w:t>Ttravelled</w:t>
      </w:r>
      <w:proofErr w:type="spellEnd"/>
      <w:r w:rsidRPr="009F674F">
        <w:rPr>
          <w:rFonts w:ascii="Arial" w:eastAsia="Times New Roman" w:hAnsi="Arial" w:cs="Arial"/>
          <w:i/>
          <w:sz w:val="20"/>
          <w:szCs w:val="20"/>
          <w:lang w:val="en-GB" w:eastAsia="it-IT"/>
        </w:rPr>
        <w:t xml:space="preserve"> Along </w:t>
      </w:r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>(</w:t>
      </w:r>
      <w:proofErr w:type="spellStart"/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>ed</w:t>
      </w:r>
      <w:proofErr w:type="spellEnd"/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 xml:space="preserve"> by D. </w:t>
      </w:r>
      <w:proofErr w:type="spellStart"/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>Preda</w:t>
      </w:r>
      <w:proofErr w:type="spellEnd"/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 xml:space="preserve">, D. </w:t>
      </w:r>
      <w:proofErr w:type="spellStart"/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>Pasquinucci</w:t>
      </w:r>
      <w:proofErr w:type="spellEnd"/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 xml:space="preserve">), P.I.E. Peter Lang, </w:t>
      </w:r>
      <w:proofErr w:type="spellStart"/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>Bruxelles</w:t>
      </w:r>
      <w:proofErr w:type="spellEnd"/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>, 2010, pp. 241-252</w:t>
      </w:r>
    </w:p>
    <w:p w:rsidR="009F674F" w:rsidRPr="009F674F" w:rsidRDefault="009F674F" w:rsidP="009F674F">
      <w:pPr>
        <w:numPr>
          <w:ilvl w:val="0"/>
          <w:numId w:val="5"/>
        </w:numPr>
        <w:spacing w:after="8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I diritti umani nelle relazioni esterne dell’Unione europea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, in 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“I Diritti dell’Uomo – cronache e battaglie</w:t>
      </w: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”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2009, n. 2, pp. 54-66</w:t>
      </w:r>
    </w:p>
    <w:p w:rsidR="009F674F" w:rsidRPr="009F674F" w:rsidRDefault="009F674F" w:rsidP="009F674F">
      <w:pPr>
        <w:numPr>
          <w:ilvl w:val="0"/>
          <w:numId w:val="5"/>
        </w:numPr>
        <w:spacing w:after="8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Il deficit di rappresentatività del Parlamento europeo: limiti e soluzioni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, in </w:t>
      </w: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Studi sull’integrazione europea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>, n. 1, 2009, pp. 121-132</w:t>
      </w:r>
    </w:p>
    <w:p w:rsidR="009F674F" w:rsidRPr="009F674F" w:rsidRDefault="009F674F" w:rsidP="009F674F">
      <w:pPr>
        <w:numPr>
          <w:ilvl w:val="0"/>
          <w:numId w:val="5"/>
        </w:numPr>
        <w:spacing w:after="8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Il presunto deficit democratico dell’Unione europea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, in A. Baldinetti, A. Maneggia (a cura di), </w:t>
      </w: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Processi politici nel Mediterraneo: dinamiche e prospettive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>, Morlacchi, Perugia, 2009, pp. 137-152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La direttiva 2001/18 sugli organismi geneticamente modificati, in 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smartTag w:uri="urn:schemas-microsoft-com:office:smarttags" w:element="PersonName">
        <w:smartTag w:uri="urn:schemas-microsoft-com:office:smarttags" w:element="PersonName">
          <w:r w:rsidRPr="009F674F">
            <w:rPr>
              <w:rFonts w:ascii="Arial" w:eastAsia="Times New Roman" w:hAnsi="Arial" w:cs="Arial"/>
              <w:sz w:val="20"/>
              <w:szCs w:val="20"/>
              <w:lang w:eastAsia="it-IT"/>
            </w:rPr>
            <w:t>V</w:t>
          </w:r>
          <w:smartTag w:uri="urn:schemas-microsoft-com:office:smarttags" w:element="PersonName">
            <w:r w:rsidRPr="009F674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ale</w:t>
            </w:r>
          </w:smartTag>
          <w:r w:rsidRPr="009F674F">
            <w:rPr>
              <w:rFonts w:ascii="Arial" w:eastAsia="Times New Roman" w:hAnsi="Arial" w:cs="Arial"/>
              <w:sz w:val="20"/>
              <w:szCs w:val="20"/>
              <w:lang w:eastAsia="it-IT"/>
            </w:rPr>
            <w:t>ntina</w:t>
          </w:r>
        </w:smartTag>
        <w:r w:rsidRPr="009F674F">
          <w:rPr>
            <w:rFonts w:ascii="Arial" w:eastAsia="Times New Roman" w:hAnsi="Arial" w:cs="Arial"/>
            <w:sz w:val="20"/>
            <w:szCs w:val="20"/>
            <w:lang w:eastAsia="it-IT"/>
          </w:rPr>
          <w:t xml:space="preserve"> Della Fina</w:t>
        </w:r>
      </w:smartTag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 (a cura di), </w:t>
      </w: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Discipline giuridiche dell’ingegneria genetica,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proofErr w:type="spellStart"/>
      <w:r w:rsidRPr="009F674F">
        <w:rPr>
          <w:rFonts w:ascii="Arial" w:eastAsia="Times New Roman" w:hAnsi="Arial" w:cs="Arial"/>
          <w:sz w:val="20"/>
          <w:szCs w:val="20"/>
          <w:lang w:eastAsia="it-IT"/>
        </w:rPr>
        <w:t>Giuffrè</w:t>
      </w:r>
      <w:proofErr w:type="spellEnd"/>
      <w:r w:rsidRPr="009F674F">
        <w:rPr>
          <w:rFonts w:ascii="Arial" w:eastAsia="Times New Roman" w:hAnsi="Arial" w:cs="Arial"/>
          <w:sz w:val="20"/>
          <w:szCs w:val="20"/>
          <w:lang w:eastAsia="it-IT"/>
        </w:rPr>
        <w:t>, 2008, pp. 205-246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Il Parlamento europeo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 (Aggiornamento – vol. XVI), in </w:t>
      </w: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Enciclopedia Giuridica Treccani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, 2008 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Arial"/>
          <w:sz w:val="20"/>
          <w:szCs w:val="20"/>
          <w:lang w:val="en-GB"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val="en-GB" w:eastAsia="it-IT"/>
        </w:rPr>
        <w:t>The European Regulation of Water</w:t>
      </w:r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 xml:space="preserve">, in </w:t>
      </w:r>
      <w:r w:rsidRPr="009F674F">
        <w:rPr>
          <w:rFonts w:ascii="Arial" w:eastAsia="Times New Roman" w:hAnsi="Arial" w:cs="Arial"/>
          <w:i/>
          <w:sz w:val="20"/>
          <w:szCs w:val="20"/>
          <w:lang w:val="en-GB" w:eastAsia="it-IT"/>
        </w:rPr>
        <w:t>Analysis of Infrastructural Intervention Implemented in Europe with the Method of the Project Financing, Analysis of the European National Rules of Projecting Financing, as well as Regulations</w:t>
      </w:r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 xml:space="preserve">, Published within </w:t>
      </w:r>
      <w:proofErr w:type="spellStart"/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>Interereg</w:t>
      </w:r>
      <w:proofErr w:type="spellEnd"/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 xml:space="preserve"> IIIC Programme – Regional Framework Operation INNOREF – Subproject EWARU, Terni, 2007, pp. 89-124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Le differenti concezioni ed applicazioni normative dell’ingegneria genetica e degli organismi geneticamente modificati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, in </w:t>
      </w:r>
      <w:proofErr w:type="spellStart"/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In.Law</w:t>
      </w:r>
      <w:proofErr w:type="spellEnd"/>
      <w:r w:rsidRPr="009F674F">
        <w:rPr>
          <w:rFonts w:ascii="Arial" w:eastAsia="Times New Roman" w:hAnsi="Arial" w:cs="Arial"/>
          <w:sz w:val="20"/>
          <w:szCs w:val="20"/>
          <w:lang w:eastAsia="it-IT"/>
        </w:rPr>
        <w:t>, 2006, pp. 224-237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Arial"/>
          <w:sz w:val="20"/>
          <w:szCs w:val="20"/>
          <w:lang w:val="en-GB"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val="en-GB" w:eastAsia="it-IT"/>
        </w:rPr>
        <w:t>The European Arrest Warrant in the Italian Legal System: the Italian Law no. 69 of the 22  of April 2005 on the Implementation of the  Framework Decision 2002/584/JHA</w:t>
      </w:r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 xml:space="preserve">, in </w:t>
      </w:r>
      <w:r w:rsidRPr="009F674F">
        <w:rPr>
          <w:rFonts w:ascii="Arial" w:eastAsia="Times New Roman" w:hAnsi="Arial" w:cs="Arial"/>
          <w:i/>
          <w:sz w:val="20"/>
          <w:szCs w:val="20"/>
          <w:lang w:val="en-GB" w:eastAsia="it-IT"/>
        </w:rPr>
        <w:t>International Yearbook of Humanitarian Law</w:t>
      </w:r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 xml:space="preserve">, </w:t>
      </w:r>
      <w:proofErr w:type="spellStart"/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>vol</w:t>
      </w:r>
      <w:proofErr w:type="spellEnd"/>
      <w:r w:rsidRPr="009F674F">
        <w:rPr>
          <w:rFonts w:ascii="Arial" w:eastAsia="Times New Roman" w:hAnsi="Arial" w:cs="Arial"/>
          <w:sz w:val="20"/>
          <w:szCs w:val="20"/>
          <w:lang w:val="en-GB" w:eastAsia="it-IT"/>
        </w:rPr>
        <w:t xml:space="preserve"> 2005, 2006 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lastRenderedPageBreak/>
        <w:t>La nozione di pace nell’ordinamento e nella politica estera dell’Unione europea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, in </w:t>
      </w: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I Diritti dell’Uomo - cronache e battaglie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n. 3, 2005, pp. 5-10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Le riforme delle Istituzioni europee: tra allargamento e costituzione europea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, in </w:t>
      </w: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L’Unione europea tra allargamento e trattato costituzionale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 (a cura di F. Raspadori, M. Signorelli), </w:t>
      </w:r>
      <w:proofErr w:type="spellStart"/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Giappichelli</w:t>
      </w:r>
      <w:proofErr w:type="spellEnd"/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Torino, 2005, in pp. 49-86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Times New Roman"/>
          <w:sz w:val="20"/>
          <w:szCs w:val="20"/>
          <w:lang w:val="en-GB"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val="en-GB" w:eastAsia="it-IT"/>
        </w:rPr>
        <w:t>Digital Divide: a Political and Juridical Perspective</w:t>
      </w:r>
      <w:r w:rsidRPr="009F674F">
        <w:rPr>
          <w:rFonts w:ascii="Arial" w:eastAsia="Times New Roman" w:hAnsi="Arial" w:cs="Times New Roman"/>
          <w:sz w:val="20"/>
          <w:szCs w:val="20"/>
          <w:lang w:val="en-GB" w:eastAsia="it-IT"/>
        </w:rPr>
        <w:t xml:space="preserve">, in </w:t>
      </w:r>
      <w:r w:rsidRPr="009F674F">
        <w:rPr>
          <w:rFonts w:ascii="Arial" w:eastAsia="Times New Roman" w:hAnsi="Arial" w:cs="Times New Roman"/>
          <w:i/>
          <w:sz w:val="20"/>
          <w:szCs w:val="20"/>
          <w:lang w:val="en-GB" w:eastAsia="it-IT"/>
        </w:rPr>
        <w:t>Proceedings of the 14</w:t>
      </w:r>
      <w:r w:rsidRPr="009F674F">
        <w:rPr>
          <w:rFonts w:ascii="Arial" w:eastAsia="Times New Roman" w:hAnsi="Arial" w:cs="Times New Roman"/>
          <w:i/>
          <w:sz w:val="20"/>
          <w:szCs w:val="20"/>
          <w:vertAlign w:val="superscript"/>
          <w:lang w:val="en-GB" w:eastAsia="it-IT"/>
        </w:rPr>
        <w:t>th</w:t>
      </w:r>
      <w:r w:rsidRPr="009F674F">
        <w:rPr>
          <w:rFonts w:ascii="Arial" w:eastAsia="Times New Roman" w:hAnsi="Arial" w:cs="Times New Roman"/>
          <w:i/>
          <w:sz w:val="20"/>
          <w:szCs w:val="20"/>
          <w:lang w:val="en-GB" w:eastAsia="it-IT"/>
        </w:rPr>
        <w:t xml:space="preserve"> European Centre for Space Law and Policy</w:t>
      </w:r>
      <w:r w:rsidRPr="009F674F">
        <w:rPr>
          <w:rFonts w:ascii="Arial" w:eastAsia="Times New Roman" w:hAnsi="Arial" w:cs="Times New Roman"/>
          <w:sz w:val="20"/>
          <w:szCs w:val="20"/>
          <w:lang w:val="en-GB" w:eastAsia="it-IT"/>
        </w:rPr>
        <w:t>, 5-16 September 2005, Terni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Il "metodo comunitario" tra allargamento dell'Unione e Trattato costituzion</w:t>
      </w:r>
      <w:smartTag w:uri="urn:schemas-microsoft-com:office:smarttags" w:element="PersonName">
        <w:r w:rsidRPr="009F674F">
          <w:rPr>
            <w:rFonts w:ascii="Arial" w:eastAsia="Times New Roman" w:hAnsi="Arial" w:cs="Arial"/>
            <w:i/>
            <w:sz w:val="20"/>
            <w:szCs w:val="20"/>
            <w:lang w:eastAsia="it-IT"/>
          </w:rPr>
          <w:t>ale</w:t>
        </w:r>
      </w:smartTag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, in “Il Diritto dell’Unione Europea”, 2004, pp. 767-810 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Sviluppo e diritti umani nella Convenzione di Cotonou: la clausola di condizionalità quasi perfetta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in “I Diritti dell’Uomo – cronache e battaglie</w:t>
      </w: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”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, 2004, n. 2, pp. 5-12 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F674F">
        <w:rPr>
          <w:rFonts w:ascii="Arial" w:eastAsia="Times New Roman" w:hAnsi="Arial" w:cs="Arial"/>
          <w:i/>
          <w:sz w:val="20"/>
          <w:szCs w:val="20"/>
          <w:lang w:eastAsia="it-IT"/>
        </w:rPr>
        <w:t>Breve introduzione ai lavori della Convenzione sul futuro dell’Europa ed ai contenuti del Progetto di Trattato che istituisce una Costituzione per l’Europa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>, in “Osservatorio sull’avvenire dell’Europa – Rassegna commentata dei lavori della Convenzione sul futuro dell’Europa, marzo 2002-luglio 2003” (</w:t>
      </w:r>
      <w:hyperlink r:id="rId8" w:history="1">
        <w:r w:rsidRPr="009F674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it-IT"/>
          </w:rPr>
          <w:t>http://www.unipg.it/scipol/osservatorio/introduzione.htm</w:t>
        </w:r>
      </w:hyperlink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 )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iCs/>
          <w:sz w:val="20"/>
          <w:szCs w:val="20"/>
          <w:lang w:eastAsia="it-IT"/>
        </w:rPr>
        <w:t>La cittadinanza europea: patrimonio comune di civiltà e giustizia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in “</w:t>
      </w:r>
      <w:r w:rsidRPr="009F674F">
        <w:rPr>
          <w:rFonts w:ascii="Arial" w:eastAsia="Times New Roman" w:hAnsi="Arial" w:cs="Times New Roman"/>
          <w:iCs/>
          <w:sz w:val="20"/>
          <w:szCs w:val="20"/>
          <w:lang w:eastAsia="it-IT"/>
        </w:rPr>
        <w:t xml:space="preserve">Rivista Eugubina della Pubblica </w:t>
      </w:r>
      <w:smartTag w:uri="urn:schemas-microsoft-com:office:smarttags" w:element="PersonName">
        <w:r w:rsidRPr="009F674F">
          <w:rPr>
            <w:rFonts w:ascii="Arial" w:eastAsia="Times New Roman" w:hAnsi="Arial" w:cs="Times New Roman"/>
            <w:iCs/>
            <w:sz w:val="20"/>
            <w:szCs w:val="20"/>
            <w:lang w:eastAsia="it-IT"/>
          </w:rPr>
          <w:t>Amministrazione</w:t>
        </w:r>
      </w:smartTag>
      <w:r w:rsidRPr="009F674F">
        <w:rPr>
          <w:rFonts w:ascii="Arial" w:eastAsia="Times New Roman" w:hAnsi="Arial" w:cs="Times New Roman"/>
          <w:iCs/>
          <w:sz w:val="20"/>
          <w:szCs w:val="20"/>
          <w:lang w:eastAsia="it-IT"/>
        </w:rPr>
        <w:t>”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2003, pp., 22-30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proofErr w:type="spellStart"/>
      <w:r w:rsidRPr="009F674F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Commentary</w:t>
      </w:r>
      <w:proofErr w:type="spellEnd"/>
      <w:r w:rsidRPr="009F674F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note on “Legge 27 novembre 2001, n. 415 ‘recante disposizioni sanzionatorie per le violazioni delle misure adottate nei confronti della fazione afghana dei Talebani’ ”</w:t>
      </w:r>
      <w:r w:rsidRPr="009F674F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in “Yearbook of International </w:t>
      </w:r>
      <w:proofErr w:type="spellStart"/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Humanitarian</w:t>
      </w:r>
      <w:proofErr w:type="spellEnd"/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 Law</w:t>
      </w: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”, 2001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, The Hague, </w:t>
      </w:r>
      <w:proofErr w:type="spellStart"/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Kluwer</w:t>
      </w:r>
      <w:proofErr w:type="spellEnd"/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 Law International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Il Parlamento europeo dopo Nizza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in "Affari Esteri", 2001, pp. 338-346.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val="en-GB"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val="en-GB" w:eastAsia="it-IT"/>
        </w:rPr>
        <w:t xml:space="preserve">Correspondent' Reports, Commentary on </w:t>
      </w:r>
      <w:smartTag w:uri="urn:schemas-microsoft-com:office:smarttags" w:element="country-region">
        <w:smartTag w:uri="urn:schemas-microsoft-com:office:smarttags" w:element="place">
          <w:r w:rsidRPr="009F674F">
            <w:rPr>
              <w:rFonts w:ascii="Arial" w:eastAsia="Times New Roman" w:hAnsi="Arial" w:cs="Times New Roman"/>
              <w:i/>
              <w:sz w:val="20"/>
              <w:szCs w:val="20"/>
              <w:lang w:val="en-GB" w:eastAsia="it-IT"/>
            </w:rPr>
            <w:t>Italy</w:t>
          </w:r>
        </w:smartTag>
      </w:smartTag>
      <w:r w:rsidRPr="009F674F">
        <w:rPr>
          <w:rFonts w:ascii="Arial" w:eastAsia="Times New Roman" w:hAnsi="Arial" w:cs="Times New Roman"/>
          <w:sz w:val="20"/>
          <w:szCs w:val="20"/>
          <w:lang w:val="en-GB" w:eastAsia="it-IT"/>
        </w:rPr>
        <w:t>, in “Yearbook of International Humanitarian Law 1999</w:t>
      </w:r>
      <w:r w:rsidRPr="009F674F">
        <w:rPr>
          <w:rFonts w:ascii="Arial" w:eastAsia="Times New Roman" w:hAnsi="Arial" w:cs="Times New Roman"/>
          <w:i/>
          <w:sz w:val="20"/>
          <w:szCs w:val="20"/>
          <w:lang w:val="en-GB" w:eastAsia="it-IT"/>
        </w:rPr>
        <w:t>”</w:t>
      </w:r>
      <w:r w:rsidRPr="009F674F">
        <w:rPr>
          <w:rFonts w:ascii="Arial" w:eastAsia="Times New Roman" w:hAnsi="Arial" w:cs="Times New Roman"/>
          <w:sz w:val="20"/>
          <w:szCs w:val="20"/>
          <w:lang w:val="en-GB" w:eastAsia="it-IT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9F674F">
            <w:rPr>
              <w:rFonts w:ascii="Arial" w:eastAsia="Times New Roman" w:hAnsi="Arial" w:cs="Times New Roman"/>
              <w:sz w:val="20"/>
              <w:szCs w:val="20"/>
              <w:lang w:val="en-GB" w:eastAsia="it-IT"/>
            </w:rPr>
            <w:t>The Hague</w:t>
          </w:r>
        </w:smartTag>
      </w:smartTag>
      <w:r w:rsidRPr="009F674F">
        <w:rPr>
          <w:rFonts w:ascii="Arial" w:eastAsia="Times New Roman" w:hAnsi="Arial" w:cs="Times New Roman"/>
          <w:sz w:val="20"/>
          <w:szCs w:val="20"/>
          <w:lang w:val="en-GB" w:eastAsia="it-IT"/>
        </w:rPr>
        <w:t>, 2000, pp. 384-388.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I diritti umani nell’ordinamento comunitario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, in </w:t>
      </w:r>
      <w:proofErr w:type="spellStart"/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Zanghì</w:t>
      </w:r>
      <w:proofErr w:type="spellEnd"/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 (a cura di) </w:t>
      </w: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I diritti dell'uomo alle soglie del terzo millennio: universalità e dialogo interculturale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", Torino, 2000, pp. 441-459.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Pinochet e il diritto internazionale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in "Affari Esteri", 1999, pp. 174-184.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L'Italia e la crisi dell'Albania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 xml:space="preserve">, in "Affari Esteri", 1998, pp. 616-623 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Il secondo incontro mondiale del Papa con la Famiglia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in "Affari Esteri", 1998, pp. 185-194.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 xml:space="preserve">L'attuazione delle norme giuridiche del MERCOSUR negli ordinamenti degli Stati parti, 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in "Roma e</w:t>
      </w: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 xml:space="preserve"> 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America. Diritto Romano Comune", Mucchi Editore, Roma, 1997, pp. 145-154.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L'Osservatorio diritti umani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in "Affari Esteri", 1997, pp. 639-643.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L’Alto Commissario delle Nazioni Unite per i diritti umani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in “Affari Esteri”, 1996, pp. 385-395.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Aborto, diritto alla vita e norme internazionali sui diritti umani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in “I Diritti dell’Uomo - cronache e battaglie”, n. 1, 1995, pp. 6-16.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Le Commissioni nazionali per la tutela dei diritti dell’uomo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in “Affari Esteri”, 1995, pp. 620-628.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Caso Gruber: un attentato alla libertà di scandalo?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in “I Diritti dell’Uomo - cronache e battaglie”, n. 2, 1994, pp. 48-50.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La protezione delle minoranze in Europa: vecchie e nuove prospettive a confronto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in “I Diritti dell’Uomo - cronache e battaglie”, n. 1, 1994, pp. 19-25.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Lessico - Diritti umani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in “Giano”, n.18, 1994, pp. 199-201.</w:t>
      </w:r>
    </w:p>
    <w:p w:rsidR="009F674F" w:rsidRPr="009F674F" w:rsidRDefault="009F674F" w:rsidP="009F674F">
      <w:pPr>
        <w:numPr>
          <w:ilvl w:val="0"/>
          <w:numId w:val="1"/>
        </w:numPr>
        <w:spacing w:after="80" w:line="240" w:lineRule="exact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9F674F">
        <w:rPr>
          <w:rFonts w:ascii="Arial" w:eastAsia="Times New Roman" w:hAnsi="Arial" w:cs="Times New Roman"/>
          <w:i/>
          <w:sz w:val="20"/>
          <w:szCs w:val="20"/>
          <w:lang w:eastAsia="it-IT"/>
        </w:rPr>
        <w:t>Lo straniero e la giustizia</w:t>
      </w:r>
      <w:r w:rsidRPr="009F674F">
        <w:rPr>
          <w:rFonts w:ascii="Arial" w:eastAsia="Times New Roman" w:hAnsi="Arial" w:cs="Times New Roman"/>
          <w:sz w:val="20"/>
          <w:szCs w:val="20"/>
          <w:lang w:eastAsia="it-IT"/>
        </w:rPr>
        <w:t>, in “I Diritti dell’Uomo - cronache e battaglie”, n. 2, 1993, pp. 73-77.</w:t>
      </w:r>
    </w:p>
    <w:p w:rsidR="004368A0" w:rsidRDefault="004368A0" w:rsidP="004368A0">
      <w:p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9F674F" w:rsidRPr="004368A0" w:rsidRDefault="009F674F" w:rsidP="004368A0">
      <w:p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4368A0" w:rsidRPr="004368A0" w:rsidRDefault="00AE2276" w:rsidP="004368A0">
      <w:pPr>
        <w:spacing w:after="8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>
        <w:rPr>
          <w:rFonts w:ascii="Arial" w:eastAsia="Times New Roman" w:hAnsi="Arial" w:cs="Times New Roman"/>
          <w:sz w:val="20"/>
          <w:szCs w:val="20"/>
          <w:lang w:eastAsia="it-IT"/>
        </w:rPr>
        <w:t xml:space="preserve">Perugia, Ottobre </w:t>
      </w:r>
      <w:r w:rsidR="004368A0" w:rsidRPr="004368A0">
        <w:rPr>
          <w:rFonts w:ascii="Arial" w:eastAsia="Times New Roman" w:hAnsi="Arial" w:cs="Times New Roman"/>
          <w:sz w:val="20"/>
          <w:szCs w:val="20"/>
          <w:lang w:eastAsia="it-IT"/>
        </w:rPr>
        <w:t>201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>4</w:t>
      </w:r>
    </w:p>
    <w:p w:rsidR="00361D32" w:rsidRDefault="004368A0" w:rsidP="004368A0">
      <w:r w:rsidRPr="004368A0">
        <w:rPr>
          <w:rFonts w:ascii="Arial" w:eastAsia="Times New Roman" w:hAnsi="Arial" w:cs="Times New Roman"/>
          <w:sz w:val="20"/>
          <w:szCs w:val="20"/>
          <w:lang w:eastAsia="it-IT"/>
        </w:rPr>
        <w:t>Prof. Fabio Ras</w:t>
      </w:r>
      <w:r w:rsidR="00AE2276">
        <w:rPr>
          <w:rFonts w:ascii="Arial" w:eastAsia="Times New Roman" w:hAnsi="Arial" w:cs="Times New Roman"/>
          <w:sz w:val="20"/>
          <w:szCs w:val="20"/>
          <w:lang w:eastAsia="it-IT"/>
        </w:rPr>
        <w:t>padori</w:t>
      </w:r>
    </w:p>
    <w:sectPr w:rsidR="00361D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783B"/>
    <w:multiLevelType w:val="hybridMultilevel"/>
    <w:tmpl w:val="701C73D8"/>
    <w:lvl w:ilvl="0" w:tplc="0136C9A8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E4619"/>
    <w:multiLevelType w:val="hybridMultilevel"/>
    <w:tmpl w:val="9B628FF6"/>
    <w:lvl w:ilvl="0" w:tplc="E4C048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7B3D0D"/>
    <w:multiLevelType w:val="singleLevel"/>
    <w:tmpl w:val="E03616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8F836AF"/>
    <w:multiLevelType w:val="hybridMultilevel"/>
    <w:tmpl w:val="10ACD29E"/>
    <w:lvl w:ilvl="0" w:tplc="8D6863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DED72CD"/>
    <w:multiLevelType w:val="hybridMultilevel"/>
    <w:tmpl w:val="D040DE6E"/>
    <w:lvl w:ilvl="0" w:tplc="0136C9A8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C42828"/>
    <w:multiLevelType w:val="hybridMultilevel"/>
    <w:tmpl w:val="A5902E14"/>
    <w:lvl w:ilvl="0" w:tplc="0136C9A8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CB3B53"/>
    <w:multiLevelType w:val="hybridMultilevel"/>
    <w:tmpl w:val="3946B4F0"/>
    <w:lvl w:ilvl="0" w:tplc="0136C9A8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043C1C"/>
    <w:multiLevelType w:val="hybridMultilevel"/>
    <w:tmpl w:val="5AAA96B2"/>
    <w:lvl w:ilvl="0" w:tplc="0136C9A8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05520E"/>
    <w:multiLevelType w:val="singleLevel"/>
    <w:tmpl w:val="77661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E341566"/>
    <w:multiLevelType w:val="singleLevel"/>
    <w:tmpl w:val="4A7007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EDD721E"/>
    <w:multiLevelType w:val="multilevel"/>
    <w:tmpl w:val="A59AA2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312410F"/>
    <w:multiLevelType w:val="hybridMultilevel"/>
    <w:tmpl w:val="20E69B22"/>
    <w:lvl w:ilvl="0" w:tplc="0136C9A8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0"/>
    <w:rsid w:val="00095AC0"/>
    <w:rsid w:val="0018705C"/>
    <w:rsid w:val="00361D32"/>
    <w:rsid w:val="00393347"/>
    <w:rsid w:val="003A4088"/>
    <w:rsid w:val="003B7E1A"/>
    <w:rsid w:val="004368A0"/>
    <w:rsid w:val="006446D8"/>
    <w:rsid w:val="00814353"/>
    <w:rsid w:val="008E4CBE"/>
    <w:rsid w:val="00956104"/>
    <w:rsid w:val="009F674F"/>
    <w:rsid w:val="00AE2276"/>
    <w:rsid w:val="00B062D5"/>
    <w:rsid w:val="00D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68A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56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68A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56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g.it/scipol/osservatorio/introduzione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de.unict.it/quadernieuropei/speciale/6_20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io.raspadori@unipg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12</cp:revision>
  <dcterms:created xsi:type="dcterms:W3CDTF">2014-09-19T12:11:00Z</dcterms:created>
  <dcterms:modified xsi:type="dcterms:W3CDTF">2014-10-09T08:40:00Z</dcterms:modified>
</cp:coreProperties>
</file>