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E2F6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14:paraId="6853A73F" w14:textId="77777777"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14:paraId="6C43F859" w14:textId="77777777"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069B4DB8" w14:textId="77777777"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76ACAA09" w14:textId="77777777" w:rsidR="00BA5E29" w:rsidRPr="0060299B" w:rsidRDefault="00BA5E29" w:rsidP="00BA5E29">
      <w:pPr>
        <w:pStyle w:val="NormaleWeb"/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>
        <w:rPr>
          <w:rFonts w:ascii="Verdana" w:hAnsi="Verdana" w:cs="Verdana"/>
          <w:b/>
          <w:bCs/>
          <w:caps/>
          <w:sz w:val="20"/>
          <w:szCs w:val="20"/>
        </w:rPr>
        <w:t xml:space="preserve"> 2778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>
        <w:rPr>
          <w:rFonts w:ascii="Verdana" w:hAnsi="Verdana" w:cs="Verdana"/>
          <w:b/>
          <w:bCs/>
          <w:caps/>
          <w:sz w:val="20"/>
          <w:szCs w:val="20"/>
        </w:rPr>
        <w:t>08/11/2021 e</w:t>
      </w:r>
      <w:r w:rsidRPr="0060299B">
        <w:rPr>
          <w:rFonts w:ascii="Verdana" w:hAnsi="Verdana" w:cs="Verdana"/>
          <w:b/>
          <w:bCs/>
          <w:caps/>
          <w:sz w:val="20"/>
          <w:szCs w:val="20"/>
        </w:rPr>
        <w:t xml:space="preserve"> D.R. n. 209 del 03/02/22 di riapertura dei termini del Bando di concorso per l’attribuzione di n. 1 Assegno</w:t>
      </w:r>
      <w:r w:rsidRPr="0060299B">
        <w:rPr>
          <w:rFonts w:ascii="Calibri" w:hAnsi="Calibri" w:cs="Calibri"/>
          <w:sz w:val="20"/>
          <w:szCs w:val="20"/>
        </w:rPr>
        <w:t xml:space="preserve"> </w:t>
      </w:r>
    </w:p>
    <w:p w14:paraId="3F3A2F33" w14:textId="77777777" w:rsidR="00066B16" w:rsidRPr="007C5A6B" w:rsidRDefault="00066B16" w:rsidP="00066B16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14:paraId="3F548C1C" w14:textId="77777777" w:rsidR="006C7771" w:rsidRDefault="006C7771" w:rsidP="00810AEB">
      <w:pPr>
        <w:pStyle w:val="NormaleWeb"/>
        <w:rPr>
          <w:rFonts w:ascii="Verdana" w:hAnsi="Verdana" w:cs="Verdana"/>
          <w:b/>
          <w:bCs/>
          <w:caps/>
          <w:sz w:val="20"/>
          <w:szCs w:val="20"/>
        </w:rPr>
      </w:pPr>
    </w:p>
    <w:p w14:paraId="1BE68ED1" w14:textId="30942B79" w:rsidR="00810AEB" w:rsidRPr="00810AEB" w:rsidRDefault="00066B16" w:rsidP="00810AEB">
      <w:pPr>
        <w:pStyle w:val="NormaleWeb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810AEB">
        <w:rPr>
          <w:rFonts w:ascii="Verdana" w:hAnsi="Verdana" w:cs="Verdana"/>
          <w:kern w:val="1"/>
          <w:sz w:val="20"/>
          <w:szCs w:val="20"/>
        </w:rPr>
        <w:t>:</w:t>
      </w:r>
      <w:r w:rsidR="00810AEB" w:rsidRPr="00810AEB">
        <w:rPr>
          <w:rFonts w:ascii="Verdana" w:hAnsi="Verdana" w:cs="Verdana"/>
          <w:kern w:val="1"/>
          <w:sz w:val="20"/>
          <w:szCs w:val="20"/>
        </w:rPr>
        <w:t xml:space="preserve"> “</w:t>
      </w:r>
      <w:r w:rsidR="00810AEB" w:rsidRPr="00BA5E29">
        <w:rPr>
          <w:rFonts w:ascii="Verdana" w:hAnsi="Verdana" w:cs="Verdana"/>
          <w:kern w:val="1"/>
        </w:rPr>
        <w:t xml:space="preserve">Analisi della Consumer </w:t>
      </w:r>
      <w:proofErr w:type="spellStart"/>
      <w:r w:rsidR="00810AEB" w:rsidRPr="00BA5E29">
        <w:rPr>
          <w:rFonts w:ascii="Verdana" w:hAnsi="Verdana" w:cs="Verdana"/>
          <w:kern w:val="1"/>
        </w:rPr>
        <w:t>Behaviours</w:t>
      </w:r>
      <w:proofErr w:type="spellEnd"/>
      <w:r w:rsidR="00810AEB" w:rsidRPr="00BA5E29">
        <w:rPr>
          <w:rFonts w:ascii="Verdana" w:hAnsi="Verdana" w:cs="Verdana"/>
          <w:kern w:val="1"/>
        </w:rPr>
        <w:t>, mercati nazionali ed esteri degli oli extravergine di oliva tipici”</w:t>
      </w:r>
      <w:r w:rsidR="00810AEB" w:rsidRPr="00810AEB">
        <w:rPr>
          <w:rFonts w:ascii="Verdana" w:hAnsi="Verdana" w:cs="Verdana"/>
          <w:kern w:val="1"/>
          <w:sz w:val="20"/>
          <w:szCs w:val="20"/>
        </w:rPr>
        <w:t xml:space="preserve"> </w:t>
      </w:r>
    </w:p>
    <w:p w14:paraId="286E8021" w14:textId="2D5F5A61" w:rsidR="000A25A0" w:rsidRDefault="000A25A0" w:rsidP="00810AEB">
      <w:pPr>
        <w:pStyle w:val="Intestazione"/>
        <w:ind w:left="1418" w:hanging="1418"/>
        <w:jc w:val="both"/>
        <w:rPr>
          <w:rFonts w:ascii="Verdana" w:hAnsi="Verdana"/>
          <w:b/>
          <w:sz w:val="20"/>
          <w:szCs w:val="20"/>
        </w:rPr>
      </w:pPr>
    </w:p>
    <w:p w14:paraId="3E1B18D3" w14:textId="77777777" w:rsidR="006C7771" w:rsidRPr="006C7771" w:rsidRDefault="006C7771" w:rsidP="006C7771">
      <w:pPr>
        <w:pStyle w:val="Corpotesto"/>
      </w:pPr>
    </w:p>
    <w:p w14:paraId="32364430" w14:textId="77777777"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14:paraId="66E2A2E0" w14:textId="77777777"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14:paraId="1F8F697B" w14:textId="77777777"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5BCE620F" w14:textId="2AD4DA93"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810AEB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</w:t>
      </w:r>
      <w:r>
        <w:rPr>
          <w:rFonts w:ascii="Verdana" w:hAnsi="Verdana" w:cs="Verdana"/>
          <w:sz w:val="20"/>
          <w:szCs w:val="20"/>
        </w:rPr>
        <w:t>/i</w:t>
      </w:r>
      <w:r w:rsidRPr="007C5A6B">
        <w:rPr>
          <w:rFonts w:ascii="Verdana" w:hAnsi="Verdana" w:cs="Verdana"/>
          <w:sz w:val="20"/>
          <w:szCs w:val="20"/>
        </w:rPr>
        <w:t xml:space="preserve">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631236">
        <w:rPr>
          <w:rFonts w:ascii="Verdana" w:hAnsi="Verdana" w:cs="Verdana"/>
          <w:sz w:val="20"/>
          <w:szCs w:val="20"/>
        </w:rPr>
        <w:t>479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>del</w:t>
      </w:r>
      <w:r w:rsidR="00810AEB">
        <w:rPr>
          <w:rFonts w:ascii="Verdana" w:hAnsi="Verdana" w:cs="Verdana"/>
          <w:sz w:val="20"/>
          <w:szCs w:val="20"/>
        </w:rPr>
        <w:t xml:space="preserve"> </w:t>
      </w:r>
      <w:r w:rsidR="00631236">
        <w:rPr>
          <w:rFonts w:ascii="Verdana" w:hAnsi="Verdana" w:cs="Verdana"/>
          <w:sz w:val="20"/>
          <w:szCs w:val="20"/>
        </w:rPr>
        <w:t>24/02</w:t>
      </w:r>
      <w:r w:rsidR="00810AEB">
        <w:rPr>
          <w:rFonts w:ascii="Verdana" w:hAnsi="Verdana" w:cs="Verdana"/>
          <w:sz w:val="20"/>
          <w:szCs w:val="20"/>
        </w:rPr>
        <w:t>/202</w:t>
      </w:r>
      <w:r w:rsidR="00631236">
        <w:rPr>
          <w:rFonts w:ascii="Verdana" w:hAnsi="Verdana" w:cs="Verdana"/>
          <w:sz w:val="20"/>
          <w:szCs w:val="20"/>
        </w:rPr>
        <w:t>2</w:t>
      </w:r>
      <w:r w:rsidRPr="004F1604">
        <w:rPr>
          <w:rFonts w:ascii="Verdana" w:hAnsi="Verdana" w:cs="Verdana"/>
          <w:sz w:val="20"/>
          <w:szCs w:val="20"/>
        </w:rPr>
        <w:t xml:space="preserve">, si è riunita in </w:t>
      </w:r>
      <w:r w:rsidR="00631236"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il giorno </w:t>
      </w:r>
      <w:r w:rsidR="00631236">
        <w:rPr>
          <w:rFonts w:ascii="Verdana" w:hAnsi="Verdana" w:cs="Verdana"/>
          <w:sz w:val="20"/>
          <w:szCs w:val="20"/>
        </w:rPr>
        <w:t>02</w:t>
      </w:r>
      <w:r w:rsidR="00810AEB">
        <w:rPr>
          <w:rFonts w:ascii="Verdana" w:hAnsi="Verdana" w:cs="Verdana"/>
          <w:sz w:val="20"/>
          <w:szCs w:val="20"/>
        </w:rPr>
        <w:t>/</w:t>
      </w:r>
      <w:r w:rsidR="00631236">
        <w:rPr>
          <w:rFonts w:ascii="Verdana" w:hAnsi="Verdana" w:cs="Verdana"/>
          <w:sz w:val="20"/>
          <w:szCs w:val="20"/>
        </w:rPr>
        <w:t>03</w:t>
      </w:r>
      <w:r w:rsidR="00810AEB">
        <w:rPr>
          <w:rFonts w:ascii="Verdana" w:hAnsi="Verdana" w:cs="Verdana"/>
          <w:sz w:val="20"/>
          <w:szCs w:val="20"/>
        </w:rPr>
        <w:t>/202</w:t>
      </w:r>
      <w:r w:rsidR="00631236">
        <w:rPr>
          <w:rFonts w:ascii="Verdana" w:hAnsi="Verdana" w:cs="Verdana"/>
          <w:sz w:val="20"/>
          <w:szCs w:val="20"/>
        </w:rPr>
        <w:t>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810AEB">
        <w:rPr>
          <w:rFonts w:ascii="Verdana" w:hAnsi="Verdana" w:cs="Verdana"/>
          <w:sz w:val="20"/>
          <w:szCs w:val="20"/>
        </w:rPr>
        <w:t>1</w:t>
      </w:r>
      <w:r w:rsidR="003F326F">
        <w:rPr>
          <w:rFonts w:ascii="Verdana" w:hAnsi="Verdana" w:cs="Verdana"/>
          <w:sz w:val="20"/>
          <w:szCs w:val="20"/>
        </w:rPr>
        <w:t>2</w:t>
      </w:r>
      <w:r w:rsidR="00810AEB">
        <w:rPr>
          <w:rFonts w:ascii="Verdana" w:hAnsi="Verdana" w:cs="Verdana"/>
          <w:sz w:val="20"/>
          <w:szCs w:val="20"/>
        </w:rPr>
        <w:t>,</w:t>
      </w:r>
      <w:r w:rsidR="003F326F">
        <w:rPr>
          <w:rFonts w:ascii="Verdana" w:hAnsi="Verdana" w:cs="Verdana"/>
          <w:sz w:val="20"/>
          <w:szCs w:val="20"/>
        </w:rPr>
        <w:t>0</w:t>
      </w:r>
      <w:r w:rsidR="00810AEB">
        <w:rPr>
          <w:rFonts w:ascii="Verdana" w:hAnsi="Verdana" w:cs="Verdana"/>
          <w:sz w:val="20"/>
          <w:szCs w:val="20"/>
        </w:rPr>
        <w:t>0</w:t>
      </w:r>
      <w:r w:rsidRPr="004F1604">
        <w:rPr>
          <w:rFonts w:ascii="Verdana" w:hAnsi="Verdana" w:cs="Verdana"/>
          <w:sz w:val="20"/>
          <w:szCs w:val="20"/>
        </w:rPr>
        <w:t xml:space="preserve"> presso il Dipartimento di </w:t>
      </w:r>
      <w:r w:rsidR="00810AEB">
        <w:rPr>
          <w:rFonts w:ascii="Verdana" w:hAnsi="Verdana" w:cs="Verdana"/>
          <w:sz w:val="20"/>
          <w:szCs w:val="20"/>
        </w:rPr>
        <w:t xml:space="preserve">Scienze Agrarie Alimentari e Ambientali </w:t>
      </w:r>
      <w:r w:rsidRPr="004F1604">
        <w:rPr>
          <w:rFonts w:ascii="Verdana" w:hAnsi="Verdana" w:cs="Verdana"/>
          <w:sz w:val="20"/>
          <w:szCs w:val="20"/>
        </w:rPr>
        <w:t xml:space="preserve">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1794B324" w14:textId="0A7C2D29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14:paraId="58DD3EEE" w14:textId="77777777" w:rsidR="00D42D52" w:rsidRPr="007C5A6B" w:rsidRDefault="00D42D52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3EA92FD0" w14:textId="68005F23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0AEB">
        <w:rPr>
          <w:rFonts w:ascii="Verdana" w:hAnsi="Verdana" w:cs="Verdana"/>
          <w:sz w:val="20"/>
          <w:szCs w:val="20"/>
        </w:rPr>
        <w:t xml:space="preserve"> Andrea Marchini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7B9C2031" w14:textId="48F85634"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Prof._</w:t>
      </w:r>
      <w:r w:rsidR="00810AEB">
        <w:rPr>
          <w:rFonts w:ascii="Verdana" w:hAnsi="Verdana" w:cs="Verdana"/>
          <w:sz w:val="20"/>
          <w:szCs w:val="20"/>
        </w:rPr>
        <w:t>Franco</w:t>
      </w:r>
      <w:proofErr w:type="spellEnd"/>
      <w:r w:rsidR="00810AEB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10AEB">
        <w:rPr>
          <w:rFonts w:ascii="Verdana" w:hAnsi="Verdana" w:cs="Verdana"/>
          <w:sz w:val="20"/>
          <w:szCs w:val="20"/>
        </w:rPr>
        <w:t>Famiani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19D51AD" w14:textId="77777777" w:rsidR="00D42D52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0AEB">
        <w:rPr>
          <w:rFonts w:ascii="Verdana" w:hAnsi="Verdana" w:cs="Verdana"/>
          <w:sz w:val="20"/>
          <w:szCs w:val="20"/>
        </w:rPr>
        <w:t xml:space="preserve"> Massimo </w:t>
      </w:r>
      <w:proofErr w:type="spellStart"/>
      <w:r w:rsidR="00810AEB">
        <w:rPr>
          <w:rFonts w:ascii="Verdana" w:hAnsi="Verdana" w:cs="Verdana"/>
          <w:sz w:val="20"/>
          <w:szCs w:val="20"/>
        </w:rPr>
        <w:t>Chiorri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2F8BEBA4" w14:textId="3AC423C7"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BBC1DC3" w14:textId="77777777" w:rsidR="00D42D52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D42D52">
        <w:rPr>
          <w:rFonts w:ascii="Verdana" w:hAnsi="Verdana" w:cs="Verdana"/>
          <w:sz w:val="20"/>
          <w:szCs w:val="20"/>
        </w:rPr>
        <w:t>Andrea Marchini</w:t>
      </w:r>
      <w:r w:rsidR="00D42D52" w:rsidRPr="007C5A6B">
        <w:rPr>
          <w:rFonts w:ascii="Verdana" w:hAnsi="Verdana" w:cs="Verdana"/>
          <w:sz w:val="20"/>
          <w:szCs w:val="20"/>
        </w:rPr>
        <w:t xml:space="preserve"> </w:t>
      </w:r>
    </w:p>
    <w:p w14:paraId="3B4E50D3" w14:textId="77777777" w:rsidR="00D42D52" w:rsidRDefault="00066B16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D42D52">
        <w:rPr>
          <w:rFonts w:ascii="Verdana" w:hAnsi="Verdana" w:cs="Verdana"/>
          <w:sz w:val="20"/>
          <w:szCs w:val="20"/>
        </w:rPr>
        <w:t xml:space="preserve">Franco </w:t>
      </w:r>
      <w:proofErr w:type="spellStart"/>
      <w:r w:rsidR="00D42D52">
        <w:rPr>
          <w:rFonts w:ascii="Verdana" w:hAnsi="Verdana" w:cs="Verdana"/>
          <w:sz w:val="20"/>
          <w:szCs w:val="20"/>
        </w:rPr>
        <w:t>Famiani</w:t>
      </w:r>
      <w:proofErr w:type="spellEnd"/>
      <w:r w:rsidR="00D42D52">
        <w:rPr>
          <w:rFonts w:ascii="Verdana" w:hAnsi="Verdana" w:cs="Verdana"/>
          <w:sz w:val="20"/>
          <w:szCs w:val="20"/>
        </w:rPr>
        <w:tab/>
      </w:r>
    </w:p>
    <w:p w14:paraId="4ED9FDF2" w14:textId="0F886A61" w:rsidR="00066B16" w:rsidRDefault="00066B16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361438"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Pr="00D42D52">
        <w:rPr>
          <w:rFonts w:ascii="Verdana" w:hAnsi="Verdana" w:cs="Verdana"/>
          <w:b/>
          <w:bCs/>
          <w:sz w:val="20"/>
          <w:szCs w:val="20"/>
        </w:rPr>
        <w:t>30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14:paraId="7F65BCC4" w14:textId="7D07952B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26F284E3" w14:textId="40E0D274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BF68BC1" w14:textId="0C5C15E7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3C0E787" w14:textId="5A7F111D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57C07507" w14:textId="0D56722D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866D9A6" w14:textId="2CB8A313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4254EDB6" w14:textId="4F3048D7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A674543" w14:textId="36D8D70F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37BF2B5F" w14:textId="6F97508C" w:rsidR="0017033F" w:rsidRDefault="0017033F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1AF9F8DB" w14:textId="77777777" w:rsidR="00A6265D" w:rsidRDefault="00A6265D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2560"/>
        <w:gridCol w:w="1500"/>
      </w:tblGrid>
      <w:tr w:rsidR="00A6265D" w14:paraId="2032436E" w14:textId="77777777" w:rsidTr="008828E4">
        <w:trPr>
          <w:trHeight w:val="30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3AE2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Titoli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CE83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Punti per ciascun titolo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C56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Punti Massimi</w:t>
            </w:r>
          </w:p>
        </w:tc>
      </w:tr>
      <w:tr w:rsidR="00A6265D" w14:paraId="31E4B777" w14:textId="77777777" w:rsidTr="008828E4">
        <w:trPr>
          <w:trHeight w:val="34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51A2" w14:textId="10EC933B" w:rsidR="00A6265D" w:rsidRDefault="005214A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Attività di ricerca svolta presso strutture pubbliche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o private: D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ottorato di ricerca,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A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ssegno di ricerca,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(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valutazione attività in mesi/uomo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E66" w14:textId="617B1692" w:rsidR="00A6265D" w:rsidRDefault="00631236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9423" w14:textId="6D12921B" w:rsidR="00A6265D" w:rsidRDefault="005214A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10</w:t>
            </w:r>
          </w:p>
        </w:tc>
      </w:tr>
      <w:tr w:rsidR="005214AD" w14:paraId="116867C6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46D" w14:textId="2BB3ACB8" w:rsidR="005214AD" w:rsidRDefault="005214A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Contratti di lavoro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nel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ruolo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di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quadri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,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dirigenti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e/o consulenti professionali (valutazione attività in mesi/uomo)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F9EB" w14:textId="73F93D7D" w:rsidR="005214AD" w:rsidRDefault="005214AD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A1C9" w14:textId="18D77EC4" w:rsidR="005214AD" w:rsidRDefault="005214A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6</w:t>
            </w:r>
          </w:p>
        </w:tc>
      </w:tr>
      <w:tr w:rsidR="00631236" w14:paraId="492AAAD6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125E" w14:textId="295EF02D" w:rsidR="00631236" w:rsidRDefault="00631236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Borse di Studio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, </w:t>
            </w:r>
            <w:r w:rsidR="00475ABC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Contratto di collaborazione a ricerche, 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Stage e 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>T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>irocini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635D" w14:textId="40B1BBBF" w:rsidR="00631236" w:rsidRDefault="00631236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EA5" w14:textId="75FD3BC7" w:rsidR="00631236" w:rsidRDefault="00063D8F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</w:tr>
      <w:tr w:rsidR="00A6265D" w14:paraId="48A910F9" w14:textId="77777777" w:rsidTr="008828E4">
        <w:trPr>
          <w:trHeight w:val="56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2547" w14:textId="25430649" w:rsidR="00A6265D" w:rsidRDefault="00A6265D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Abilitazione all</w:t>
            </w:r>
            <w:r w:rsidR="00631236">
              <w:rPr>
                <w:rFonts w:ascii="Verdana" w:eastAsiaTheme="minorHAnsi" w:hAnsi="Verdana" w:cs="Verdana"/>
                <w:color w:val="000000"/>
                <w:lang w:eastAsia="en-US"/>
              </w:rPr>
              <w:t>’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esercizio della professione</w:t>
            </w:r>
            <w:r w:rsidR="00063D8F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di agronomo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E7E" w14:textId="15F7B185" w:rsidR="00A6265D" w:rsidRDefault="00475ABC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6601" w14:textId="79A84BB2" w:rsidR="00A6265D" w:rsidRDefault="00475ABC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7</w:t>
            </w:r>
          </w:p>
        </w:tc>
      </w:tr>
      <w:tr w:rsidR="00A6265D" w14:paraId="2CCEF3CE" w14:textId="77777777" w:rsidTr="008828E4">
        <w:trPr>
          <w:trHeight w:val="62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0DC8" w14:textId="714A9056" w:rsidR="00A6265D" w:rsidRDefault="00631236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Corsi di formazione e/o specializzazione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65A8" w14:textId="3CB4ADB7" w:rsidR="00A6265D" w:rsidRDefault="005214AD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BA1E" w14:textId="738CC7AD" w:rsidR="00A6265D" w:rsidRDefault="00063D8F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1</w:t>
            </w:r>
          </w:p>
        </w:tc>
      </w:tr>
      <w:tr w:rsidR="00A6265D" w14:paraId="34D97AD3" w14:textId="77777777" w:rsidTr="008828E4">
        <w:trPr>
          <w:trHeight w:val="640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B1A9" w14:textId="16F6D692" w:rsidR="00A6265D" w:rsidRDefault="00063D8F" w:rsidP="008828E4">
            <w:pPr>
              <w:autoSpaceDE w:val="0"/>
              <w:autoSpaceDN w:val="0"/>
              <w:adjustRightInd w:val="0"/>
              <w:ind w:left="142" w:right="16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P</w:t>
            </w:r>
            <w:r w:rsidR="00A6265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ubblicazioni e </w:t>
            </w:r>
            <w:proofErr w:type="spellStart"/>
            <w:r w:rsidR="00A6265D">
              <w:rPr>
                <w:rFonts w:ascii="Verdana" w:eastAsiaTheme="minorHAnsi" w:hAnsi="Verdana" w:cs="Verdana"/>
                <w:color w:val="000000"/>
                <w:lang w:eastAsia="en-US"/>
              </w:rPr>
              <w:t>proceeding</w:t>
            </w:r>
            <w:proofErr w:type="spellEnd"/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di</w:t>
            </w:r>
            <w:r w:rsidR="005214AD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convegni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5764" w14:textId="18EA083E" w:rsidR="00A6265D" w:rsidRDefault="00475ABC" w:rsidP="008828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7D9A" w14:textId="79C516E8" w:rsidR="00A6265D" w:rsidRDefault="00475ABC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lang w:eastAsia="en-US"/>
              </w:rPr>
              <w:t>5</w:t>
            </w:r>
          </w:p>
        </w:tc>
      </w:tr>
      <w:tr w:rsidR="00A6265D" w14:paraId="2986C1F3" w14:textId="77777777" w:rsidTr="008828E4">
        <w:trPr>
          <w:trHeight w:val="300"/>
          <w:jc w:val="center"/>
        </w:trPr>
        <w:tc>
          <w:tcPr>
            <w:tcW w:w="7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F125" w14:textId="510F27D4" w:rsidR="00A6265D" w:rsidRDefault="00A6265D" w:rsidP="008828E4">
            <w:pPr>
              <w:autoSpaceDE w:val="0"/>
              <w:autoSpaceDN w:val="0"/>
              <w:adjustRightInd w:val="0"/>
              <w:ind w:left="142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PUNTEGGIO </w:t>
            </w:r>
            <w:r w:rsidR="00631236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MASSIMO RICONOSCIBILE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F488" w14:textId="77777777" w:rsidR="00A6265D" w:rsidRDefault="00A6265D" w:rsidP="008828E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>30</w:t>
            </w:r>
          </w:p>
        </w:tc>
      </w:tr>
    </w:tbl>
    <w:p w14:paraId="611AB8FA" w14:textId="2FB5470C" w:rsidR="00EA7AF4" w:rsidRDefault="00EA7AF4" w:rsidP="0017033F">
      <w:pPr>
        <w:pStyle w:val="Predefinito"/>
        <w:spacing w:line="360" w:lineRule="auto"/>
        <w:ind w:left="142"/>
        <w:jc w:val="center"/>
        <w:rPr>
          <w:rFonts w:ascii="Verdana" w:hAnsi="Verdana" w:cs="Verdana"/>
          <w:color w:val="FF0000"/>
          <w:sz w:val="20"/>
          <w:szCs w:val="20"/>
        </w:rPr>
      </w:pPr>
    </w:p>
    <w:p w14:paraId="07E8C21A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076B1672" w14:textId="77777777"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 w:rsidRPr="00631236">
        <w:rPr>
          <w:rFonts w:ascii="Verdana" w:hAnsi="Verdana" w:cs="Verdana"/>
          <w:b/>
          <w:bCs/>
          <w:sz w:val="20"/>
          <w:szCs w:val="20"/>
        </w:rPr>
        <w:t>70 punti riservati al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14:paraId="6593B3BD" w14:textId="77777777" w:rsidR="00E33B49" w:rsidRPr="00395815" w:rsidRDefault="00E33B49" w:rsidP="00E33B49">
      <w:pPr>
        <w:ind w:right="-143"/>
        <w:jc w:val="both"/>
        <w:rPr>
          <w:rFonts w:ascii="Verdana" w:hAnsi="Verdana"/>
          <w:bCs/>
        </w:rPr>
      </w:pPr>
    </w:p>
    <w:p w14:paraId="6E633FB6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0901217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6212E8A0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14:paraId="0A732E1A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7FBC451A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14:paraId="74B3F658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36FE9092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14:paraId="5EFCFB97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2A4CC5CB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14:paraId="5E4CD2D6" w14:textId="77777777"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18BF181E" w14:textId="0E595D28" w:rsidR="00892223" w:rsidRPr="00220EE2" w:rsidRDefault="00E33B49" w:rsidP="00867603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10 a 24/70 </w:t>
      </w:r>
      <w:r w:rsidR="00C3153A" w:rsidRPr="00220EE2">
        <w:rPr>
          <w:rFonts w:ascii="Verdana" w:hAnsi="Verdana"/>
          <w:color w:val="000000" w:themeColor="text1"/>
        </w:rPr>
        <w:t xml:space="preserve">    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14:paraId="760CF263" w14:textId="77777777"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14:paraId="69BBC8B5" w14:textId="77777777"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640FB49F" w14:textId="28640323"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</w:t>
      </w:r>
      <w:r w:rsidR="00140EB3">
        <w:rPr>
          <w:rFonts w:ascii="Verdana" w:hAnsi="Verdana" w:cs="Verdana"/>
          <w:sz w:val="20"/>
          <w:szCs w:val="20"/>
        </w:rPr>
        <w:t>presenza</w:t>
      </w:r>
      <w:r w:rsidRPr="004F1604">
        <w:rPr>
          <w:rFonts w:ascii="Verdana" w:hAnsi="Verdana" w:cs="Verdana"/>
          <w:sz w:val="20"/>
          <w:szCs w:val="20"/>
        </w:rPr>
        <w:t xml:space="preserve"> </w:t>
      </w:r>
      <w:r w:rsidR="008140E7">
        <w:rPr>
          <w:rFonts w:ascii="Verdana" w:hAnsi="Verdana" w:cs="Verdana"/>
          <w:sz w:val="20"/>
          <w:szCs w:val="20"/>
        </w:rPr>
        <w:t xml:space="preserve">presso il DSA3 </w:t>
      </w:r>
      <w:r w:rsidRPr="004F1604">
        <w:rPr>
          <w:rFonts w:ascii="Verdana" w:hAnsi="Verdana" w:cs="Verdana"/>
          <w:sz w:val="20"/>
          <w:szCs w:val="20"/>
        </w:rPr>
        <w:t xml:space="preserve">il </w:t>
      </w:r>
      <w:r w:rsidRPr="00631236">
        <w:rPr>
          <w:rFonts w:ascii="Verdana" w:hAnsi="Verdana" w:cs="Verdana"/>
          <w:b/>
          <w:bCs/>
          <w:sz w:val="20"/>
          <w:szCs w:val="20"/>
        </w:rPr>
        <w:t xml:space="preserve">giorno </w:t>
      </w:r>
      <w:r w:rsidR="00140EB3">
        <w:rPr>
          <w:rFonts w:ascii="Verdana" w:hAnsi="Verdana" w:cs="Verdana"/>
          <w:b/>
          <w:bCs/>
          <w:sz w:val="20"/>
          <w:szCs w:val="20"/>
        </w:rPr>
        <w:t>04 Aprile</w:t>
      </w:r>
      <w:r w:rsidR="00581672" w:rsidRPr="00631236">
        <w:rPr>
          <w:rFonts w:ascii="Verdana" w:hAnsi="Verdana" w:cs="Verdana"/>
          <w:b/>
          <w:bCs/>
          <w:sz w:val="20"/>
          <w:szCs w:val="20"/>
        </w:rPr>
        <w:t xml:space="preserve"> 2022</w:t>
      </w:r>
      <w:r w:rsidR="00581672">
        <w:rPr>
          <w:rFonts w:ascii="Verdana" w:hAnsi="Verdana" w:cs="Verdana"/>
          <w:sz w:val="20"/>
          <w:szCs w:val="20"/>
        </w:rPr>
        <w:t xml:space="preserve"> </w:t>
      </w:r>
      <w:r w:rsidRPr="00631236">
        <w:rPr>
          <w:rFonts w:ascii="Verdana" w:hAnsi="Verdana" w:cs="Verdana"/>
          <w:b/>
          <w:bCs/>
          <w:sz w:val="20"/>
          <w:szCs w:val="20"/>
        </w:rPr>
        <w:t xml:space="preserve">alle ore </w:t>
      </w:r>
      <w:r w:rsidR="00140EB3">
        <w:rPr>
          <w:rFonts w:ascii="Verdana" w:hAnsi="Verdana" w:cs="Verdana"/>
          <w:b/>
          <w:bCs/>
          <w:sz w:val="20"/>
          <w:szCs w:val="20"/>
        </w:rPr>
        <w:t>17:30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4991350B" w14:textId="77777777"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</w:t>
      </w:r>
      <w:r>
        <w:rPr>
          <w:rFonts w:ascii="Verdana" w:hAnsi="Verdana" w:cs="Verdana"/>
          <w:sz w:val="20"/>
          <w:szCs w:val="20"/>
        </w:rPr>
        <w:t>/in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62ACB572" w14:textId="0CA9CC32"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D42D52">
        <w:rPr>
          <w:rFonts w:ascii="Verdana" w:hAnsi="Verdana" w:cs="Verdana"/>
          <w:sz w:val="20"/>
          <w:szCs w:val="20"/>
        </w:rPr>
        <w:t xml:space="preserve"> 1</w:t>
      </w:r>
      <w:r w:rsidR="003F326F">
        <w:rPr>
          <w:rFonts w:ascii="Verdana" w:hAnsi="Verdana" w:cs="Verdana"/>
          <w:sz w:val="20"/>
          <w:szCs w:val="20"/>
        </w:rPr>
        <w:t>2</w:t>
      </w:r>
      <w:r w:rsidR="00D42D52">
        <w:rPr>
          <w:rFonts w:ascii="Verdana" w:hAnsi="Verdana" w:cs="Verdana"/>
          <w:sz w:val="20"/>
          <w:szCs w:val="20"/>
        </w:rPr>
        <w:t>,30</w:t>
      </w:r>
      <w:r w:rsidRPr="004F1604">
        <w:rPr>
          <w:rFonts w:ascii="Verdana" w:hAnsi="Verdana" w:cs="Verdana"/>
          <w:sz w:val="20"/>
          <w:szCs w:val="20"/>
        </w:rPr>
        <w:t>.</w:t>
      </w:r>
    </w:p>
    <w:p w14:paraId="504480D5" w14:textId="6F0F4F55" w:rsidR="00581672" w:rsidRDefault="00581672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3963558F" w14:textId="77777777" w:rsidR="00581672" w:rsidRPr="007C5A6B" w:rsidRDefault="00581672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16B9B713" w14:textId="77777777"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4CE1504D" w14:textId="77777777" w:rsidR="00D42D52" w:rsidRPr="00417950" w:rsidRDefault="00D42D52" w:rsidP="00D42D52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14:paraId="7AD2887D" w14:textId="77777777" w:rsidR="00D42D52" w:rsidRPr="00417950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79CB208A" w14:textId="06AD64F0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Andrea Marchini</w:t>
      </w:r>
      <w:r w:rsidRPr="00417950">
        <w:rPr>
          <w:rFonts w:ascii="Verdana" w:hAnsi="Verdana" w:cs="Verdana"/>
          <w:sz w:val="20"/>
          <w:szCs w:val="20"/>
        </w:rPr>
        <w:tab/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</w:p>
    <w:p w14:paraId="00AC352A" w14:textId="77777777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76B57101" w14:textId="45060089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Massimo </w:t>
      </w:r>
      <w:proofErr w:type="spellStart"/>
      <w:r>
        <w:rPr>
          <w:rFonts w:ascii="Verdana" w:hAnsi="Verdana" w:cs="Verdana"/>
          <w:sz w:val="20"/>
          <w:szCs w:val="20"/>
        </w:rPr>
        <w:t>Chiorri</w:t>
      </w:r>
      <w:proofErr w:type="spellEnd"/>
      <w:r w:rsidRPr="00417950">
        <w:rPr>
          <w:rFonts w:ascii="Verdana" w:hAnsi="Verdana" w:cs="Verdana"/>
          <w:sz w:val="20"/>
          <w:szCs w:val="20"/>
        </w:rPr>
        <w:tab/>
        <w:t>- MEMBRO</w:t>
      </w:r>
      <w:r w:rsidRPr="00417950">
        <w:rPr>
          <w:rFonts w:ascii="Verdana" w:hAnsi="Verdana" w:cs="Verdana"/>
          <w:sz w:val="20"/>
          <w:szCs w:val="20"/>
        </w:rPr>
        <w:tab/>
      </w:r>
    </w:p>
    <w:p w14:paraId="29BD2482" w14:textId="77777777" w:rsidR="00D42D52" w:rsidRDefault="00D42D52" w:rsidP="00D42D52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035FB272" w14:textId="0C43599F" w:rsidR="00D42D52" w:rsidRDefault="00D42D52" w:rsidP="003008C4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Franco </w:t>
      </w:r>
      <w:proofErr w:type="spellStart"/>
      <w:r>
        <w:rPr>
          <w:rFonts w:ascii="Verdana" w:hAnsi="Verdana" w:cs="Verdana"/>
          <w:sz w:val="20"/>
          <w:szCs w:val="20"/>
        </w:rPr>
        <w:t>Famiani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Pr="00220EE2">
        <w:rPr>
          <w:rFonts w:ascii="Verdana" w:hAnsi="Verdana" w:cs="Verdana"/>
          <w:sz w:val="20"/>
          <w:szCs w:val="20"/>
        </w:rPr>
        <w:t>- MEMBRO CON FUNZIONI DI SEGRETARIO</w:t>
      </w:r>
    </w:p>
    <w:p w14:paraId="094D6076" w14:textId="77777777" w:rsidR="00D42D52" w:rsidRDefault="00D42D52" w:rsidP="00D42D52">
      <w:pPr>
        <w:pStyle w:val="Predefinito"/>
        <w:spacing w:line="360" w:lineRule="auto"/>
        <w:ind w:firstLine="708"/>
        <w:jc w:val="both"/>
      </w:pPr>
    </w:p>
    <w:p w14:paraId="614F5CB9" w14:textId="77777777" w:rsidR="006D6B5A" w:rsidRDefault="006D6B5A" w:rsidP="00D42D52">
      <w:pPr>
        <w:pStyle w:val="Predefinito"/>
        <w:spacing w:line="360" w:lineRule="auto"/>
        <w:ind w:firstLine="708"/>
        <w:jc w:val="both"/>
      </w:pPr>
    </w:p>
    <w:sectPr w:rsidR="006D6B5A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7627" w14:textId="77777777" w:rsidR="0082203F" w:rsidRDefault="0082203F" w:rsidP="00D42D52">
      <w:r>
        <w:separator/>
      </w:r>
    </w:p>
  </w:endnote>
  <w:endnote w:type="continuationSeparator" w:id="0">
    <w:p w14:paraId="1E3CCFD3" w14:textId="77777777" w:rsidR="0082203F" w:rsidRDefault="0082203F" w:rsidP="00D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632577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C72CE4" w14:textId="3463AED6" w:rsidR="00D42D52" w:rsidRDefault="00D42D52" w:rsidP="003122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FA42FB5" w14:textId="77777777" w:rsidR="00D42D52" w:rsidRDefault="00D42D52" w:rsidP="00D42D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889108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B4C00A" w14:textId="10E790FC" w:rsidR="00D42D52" w:rsidRDefault="00D42D52" w:rsidP="0031224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532CB79" w14:textId="77777777" w:rsidR="00D42D52" w:rsidRDefault="00D42D52" w:rsidP="00D42D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40E9" w14:textId="77777777" w:rsidR="0082203F" w:rsidRDefault="0082203F" w:rsidP="00D42D52">
      <w:r>
        <w:separator/>
      </w:r>
    </w:p>
  </w:footnote>
  <w:footnote w:type="continuationSeparator" w:id="0">
    <w:p w14:paraId="72185821" w14:textId="77777777" w:rsidR="0082203F" w:rsidRDefault="0082203F" w:rsidP="00D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26D40"/>
    <w:rsid w:val="00063D8F"/>
    <w:rsid w:val="00066B16"/>
    <w:rsid w:val="000A25A0"/>
    <w:rsid w:val="000A4A2B"/>
    <w:rsid w:val="000C4BF3"/>
    <w:rsid w:val="00140EB3"/>
    <w:rsid w:val="0017033F"/>
    <w:rsid w:val="001C32A2"/>
    <w:rsid w:val="00220EE2"/>
    <w:rsid w:val="003008C4"/>
    <w:rsid w:val="00361438"/>
    <w:rsid w:val="00371E37"/>
    <w:rsid w:val="00376373"/>
    <w:rsid w:val="00385966"/>
    <w:rsid w:val="003F326F"/>
    <w:rsid w:val="00475ABC"/>
    <w:rsid w:val="005151AB"/>
    <w:rsid w:val="005214AD"/>
    <w:rsid w:val="00574F95"/>
    <w:rsid w:val="00581672"/>
    <w:rsid w:val="00631236"/>
    <w:rsid w:val="006C7771"/>
    <w:rsid w:val="006D6B5A"/>
    <w:rsid w:val="00711481"/>
    <w:rsid w:val="00791856"/>
    <w:rsid w:val="00810AEB"/>
    <w:rsid w:val="008140E7"/>
    <w:rsid w:val="0082203F"/>
    <w:rsid w:val="00867603"/>
    <w:rsid w:val="00892223"/>
    <w:rsid w:val="008B65E0"/>
    <w:rsid w:val="0095356D"/>
    <w:rsid w:val="009D4B31"/>
    <w:rsid w:val="00A10B0D"/>
    <w:rsid w:val="00A6265D"/>
    <w:rsid w:val="00B862BB"/>
    <w:rsid w:val="00B958F4"/>
    <w:rsid w:val="00BA5E29"/>
    <w:rsid w:val="00C3153A"/>
    <w:rsid w:val="00C62225"/>
    <w:rsid w:val="00D42D52"/>
    <w:rsid w:val="00DB2656"/>
    <w:rsid w:val="00E33B49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8ECC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10AEB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2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D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4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cp:lastPrinted>2022-03-09T11:40:00Z</cp:lastPrinted>
  <dcterms:created xsi:type="dcterms:W3CDTF">2022-03-11T10:57:00Z</dcterms:created>
  <dcterms:modified xsi:type="dcterms:W3CDTF">2022-03-11T10:57:00Z</dcterms:modified>
</cp:coreProperties>
</file>